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5E" w:rsidRDefault="00693D5E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93D5E" w:rsidRPr="00637B5E" w:rsidRDefault="00693D5E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23341C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693D5E" w:rsidRDefault="00693D5E" w:rsidP="00BE1AE8">
      <w:pPr>
        <w:jc w:val="center"/>
        <w:rPr>
          <w:shd w:val="clear" w:color="auto" w:fill="FFFF66"/>
        </w:rPr>
      </w:pPr>
    </w:p>
    <w:p w:rsidR="00693D5E" w:rsidRPr="00637B5E" w:rsidRDefault="00693D5E" w:rsidP="00BE1AE8">
      <w:pPr>
        <w:jc w:val="center"/>
        <w:rPr>
          <w:shd w:val="clear" w:color="auto" w:fill="FFFF66"/>
        </w:rPr>
      </w:pP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23341C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23341C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23341C">
        <w:rPr>
          <w:rFonts w:ascii="Arial" w:hAnsi="Arial" w:cs="Arial"/>
          <w:sz w:val="20"/>
          <w:szCs w:val="20"/>
        </w:rPr>
        <w:t>Auto</w:t>
      </w:r>
      <w:r w:rsidR="0023341C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23341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693D5E" w:rsidRPr="00637B5E" w:rsidRDefault="00693D5E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23341C">
        <w:rPr>
          <w:rFonts w:ascii="Arial" w:hAnsi="Arial" w:cs="Arial"/>
          <w:sz w:val="20"/>
          <w:szCs w:val="20"/>
        </w:rPr>
        <w:t>Auto</w:t>
      </w:r>
      <w:r w:rsidR="0023341C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23341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693D5E" w:rsidRPr="00245A38" w:rsidRDefault="00693D5E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3341C" w:rsidRDefault="00693D5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AUTOINSPEÇÃO PARA </w:t>
      </w:r>
      <w:r w:rsidR="00B46FA9" w:rsidRPr="00B46FA9">
        <w:rPr>
          <w:rFonts w:ascii="Arial" w:hAnsi="Arial" w:cs="Arial"/>
          <w:b/>
          <w:sz w:val="20"/>
          <w:szCs w:val="20"/>
          <w:u w:val="single"/>
        </w:rPr>
        <w:t>FABRICAÇÃO DE PRODUTOS DO ARROZ</w:t>
      </w:r>
    </w:p>
    <w:p w:rsidR="00693D5E" w:rsidRPr="00245A38" w:rsidRDefault="00693D5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B46FA9" w:rsidRPr="00B46FA9">
        <w:rPr>
          <w:rFonts w:ascii="Arial" w:hAnsi="Arial" w:cs="Arial"/>
          <w:b/>
          <w:sz w:val="20"/>
          <w:szCs w:val="20"/>
        </w:rPr>
        <w:t>1061-9/02</w:t>
      </w:r>
      <w:bookmarkStart w:id="0" w:name="_GoBack"/>
      <w:bookmarkEnd w:id="0"/>
    </w:p>
    <w:p w:rsidR="00693D5E" w:rsidRPr="00BB0D46" w:rsidRDefault="00693D5E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693D5E" w:rsidRDefault="00693D5E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693D5E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693D5E" w:rsidRPr="00BB0D46" w:rsidRDefault="00693D5E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693D5E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693D5E" w:rsidRPr="00BB0D46" w:rsidRDefault="00693D5E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693D5E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693D5E" w:rsidRPr="00BB0D46" w:rsidRDefault="00693D5E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693D5E" w:rsidRPr="00245A38" w:rsidTr="00BB0D46">
        <w:trPr>
          <w:trHeight w:val="708"/>
        </w:trPr>
        <w:tc>
          <w:tcPr>
            <w:tcW w:w="6948" w:type="dxa"/>
            <w:vAlign w:val="center"/>
          </w:tcPr>
          <w:p w:rsidR="00693D5E" w:rsidRPr="00BB0D46" w:rsidRDefault="00693D5E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693D5E" w:rsidRPr="00BB0D46" w:rsidRDefault="00693D5E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693D5E" w:rsidRPr="00BB0D46" w:rsidRDefault="00693D5E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693D5E" w:rsidRPr="00245A38" w:rsidRDefault="00693D5E">
      <w:pPr>
        <w:rPr>
          <w:rFonts w:ascii="Arial" w:hAnsi="Arial" w:cs="Arial"/>
          <w:sz w:val="20"/>
          <w:szCs w:val="20"/>
        </w:rPr>
      </w:pPr>
    </w:p>
    <w:p w:rsidR="00693D5E" w:rsidRPr="003D43B8" w:rsidRDefault="00693D5E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693D5E" w:rsidRDefault="00693D5E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693D5E" w:rsidRDefault="00693D5E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693D5E" w:rsidRDefault="00693D5E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693D5E" w:rsidRPr="003D43B8" w:rsidRDefault="00693D5E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693D5E" w:rsidRDefault="00693D5E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693D5E" w:rsidRPr="006A177F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693D5E" w:rsidRPr="00197CE5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197CE5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693D5E" w:rsidRPr="00197CE5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197CE5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06425C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425C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197CE5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1.14) Refrigeradores/congeladores (quando houver)em bom estado de conservação e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controle diá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etente </w:t>
            </w:r>
            <w:r w:rsidRPr="0080273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procedência comprovada)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1.20)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197CE5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1.21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197CE5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197CE5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1.24)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693D5E" w:rsidRPr="0023341C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06425C" w:rsidRDefault="00693D5E" w:rsidP="00FA697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6425C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1.30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1.31)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  <w:vAlign w:val="center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1.34)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693D5E" w:rsidRPr="006A177F" w:rsidRDefault="00693D5E" w:rsidP="00FA6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2.3)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Certificado de participação em treinamento para manipuladores de alimentos. 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Municipal 5980/02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4A3700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693D5E" w:rsidRPr="006A177F" w:rsidTr="00FA6975">
        <w:trPr>
          <w:jc w:val="center"/>
        </w:trPr>
        <w:tc>
          <w:tcPr>
            <w:tcW w:w="5815" w:type="dxa"/>
          </w:tcPr>
          <w:p w:rsidR="00693D5E" w:rsidRPr="006A177F" w:rsidRDefault="00693D5E" w:rsidP="00FA697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2.6) </w:t>
            </w:r>
            <w:r w:rsidRPr="006A177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93D5E" w:rsidRPr="006A177F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93D5E" w:rsidRPr="004A3700" w:rsidRDefault="00693D5E" w:rsidP="00FA6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Dec. M</w:t>
            </w:r>
            <w:r w:rsidRPr="004A370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8543/10</w:t>
            </w:r>
          </w:p>
        </w:tc>
      </w:tr>
    </w:tbl>
    <w:p w:rsidR="00693D5E" w:rsidRDefault="00693D5E">
      <w:pPr>
        <w:rPr>
          <w:rFonts w:ascii="Arial" w:hAnsi="Arial" w:cs="Arial"/>
          <w:b/>
          <w:sz w:val="20"/>
          <w:szCs w:val="20"/>
        </w:rPr>
      </w:pPr>
    </w:p>
    <w:p w:rsidR="00693D5E" w:rsidRPr="00245A38" w:rsidRDefault="00693D5E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693D5E" w:rsidRPr="00245A38" w:rsidRDefault="00693D5E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693D5E" w:rsidRPr="00245A38" w:rsidRDefault="00693D5E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693D5E" w:rsidRPr="00245A38" w:rsidRDefault="00693D5E">
      <w:pPr>
        <w:rPr>
          <w:rFonts w:ascii="Arial" w:hAnsi="Arial" w:cs="Arial"/>
          <w:sz w:val="20"/>
          <w:szCs w:val="20"/>
        </w:rPr>
      </w:pPr>
    </w:p>
    <w:p w:rsidR="00693D5E" w:rsidRDefault="00693D5E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93D5E" w:rsidRDefault="00693D5E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lastRenderedPageBreak/>
        <w:t>Data do preenchimento do Roteiro de Auto Inspeção: _____/______/________.</w:t>
      </w:r>
    </w:p>
    <w:p w:rsidR="00693D5E" w:rsidRDefault="00693D5E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93D5E" w:rsidRPr="00637B5E" w:rsidRDefault="00693D5E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693D5E" w:rsidRPr="00637B5E" w:rsidRDefault="00693D5E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693D5E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D5E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D5E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D5E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693D5E" w:rsidRPr="00637B5E" w:rsidRDefault="00693D5E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3D5E" w:rsidRPr="00B76941" w:rsidRDefault="00693D5E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693D5E" w:rsidRPr="00B76941" w:rsidRDefault="00693D5E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93D5E" w:rsidRDefault="00693D5E" w:rsidP="00D87BD1">
      <w:pPr>
        <w:rPr>
          <w:rFonts w:ascii="Arial" w:hAnsi="Arial" w:cs="Arial"/>
          <w:sz w:val="20"/>
          <w:szCs w:val="20"/>
          <w:u w:val="single"/>
        </w:rPr>
      </w:pPr>
    </w:p>
    <w:p w:rsidR="00693D5E" w:rsidRDefault="00693D5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693D5E" w:rsidRDefault="00693D5E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693D5E" w:rsidRDefault="00693D5E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693D5E" w:rsidRPr="00FD0E0D" w:rsidRDefault="00693D5E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693D5E" w:rsidRDefault="00693D5E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3D5E" w:rsidTr="00042B0A">
        <w:tc>
          <w:tcPr>
            <w:tcW w:w="10760" w:type="dxa"/>
          </w:tcPr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3D5E" w:rsidRPr="00042B0A" w:rsidRDefault="00693D5E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693D5E" w:rsidRPr="00245A38" w:rsidRDefault="00693D5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693D5E" w:rsidRPr="008346AF" w:rsidTr="008F1CE5">
        <w:tc>
          <w:tcPr>
            <w:tcW w:w="0" w:type="auto"/>
          </w:tcPr>
          <w:p w:rsidR="00693D5E" w:rsidRPr="00637B5E" w:rsidRDefault="00693D5E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93D5E" w:rsidRPr="00637B5E" w:rsidRDefault="00693D5E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693D5E" w:rsidRPr="008346AF" w:rsidTr="008F1CE5">
        <w:tc>
          <w:tcPr>
            <w:tcW w:w="0" w:type="auto"/>
          </w:tcPr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693D5E" w:rsidTr="008F1CE5">
        <w:tc>
          <w:tcPr>
            <w:tcW w:w="0" w:type="auto"/>
          </w:tcPr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3D5E" w:rsidRDefault="00693D5E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3D5E" w:rsidRDefault="00693D5E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D5E" w:rsidTr="008F1CE5">
        <w:tc>
          <w:tcPr>
            <w:tcW w:w="0" w:type="auto"/>
          </w:tcPr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3D5E" w:rsidRPr="00637B5E" w:rsidRDefault="00693D5E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693D5E" w:rsidRPr="00637B5E" w:rsidRDefault="00693D5E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693D5E" w:rsidTr="008F1CE5">
        <w:tc>
          <w:tcPr>
            <w:tcW w:w="0" w:type="auto"/>
          </w:tcPr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5E" w:rsidRPr="00637B5E" w:rsidRDefault="00693D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3D5E" w:rsidRDefault="00693D5E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3D5E" w:rsidRDefault="00693D5E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93D5E" w:rsidRPr="00637B5E" w:rsidRDefault="00693D5E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93D5E" w:rsidRDefault="00693D5E">
      <w:pPr>
        <w:rPr>
          <w:rFonts w:ascii="Arial" w:hAnsi="Arial" w:cs="Arial"/>
          <w:sz w:val="20"/>
          <w:szCs w:val="20"/>
        </w:rPr>
      </w:pPr>
    </w:p>
    <w:p w:rsidR="00693D5E" w:rsidRPr="00245A38" w:rsidRDefault="00693D5E">
      <w:pPr>
        <w:rPr>
          <w:rFonts w:ascii="Arial" w:hAnsi="Arial" w:cs="Arial"/>
          <w:sz w:val="20"/>
          <w:szCs w:val="20"/>
        </w:rPr>
      </w:pPr>
    </w:p>
    <w:sectPr w:rsidR="00693D5E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E9" w:rsidRDefault="00F655E9">
      <w:r>
        <w:separator/>
      </w:r>
    </w:p>
  </w:endnote>
  <w:endnote w:type="continuationSeparator" w:id="0">
    <w:p w:rsidR="00F655E9" w:rsidRDefault="00F6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E9" w:rsidRDefault="00F655E9">
      <w:r>
        <w:separator/>
      </w:r>
    </w:p>
  </w:footnote>
  <w:footnote w:type="continuationSeparator" w:id="0">
    <w:p w:rsidR="00F655E9" w:rsidRDefault="00F6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5E" w:rsidRPr="00BE1AE8" w:rsidRDefault="0023341C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D5E">
      <w:t xml:space="preserve">                  </w:t>
    </w:r>
    <w:r w:rsidR="00693D5E" w:rsidRPr="00BE1AE8">
      <w:rPr>
        <w:rFonts w:ascii="Arial" w:hAnsi="Arial" w:cs="Arial"/>
        <w:b/>
        <w:sz w:val="22"/>
        <w:szCs w:val="22"/>
      </w:rPr>
      <w:t>PREFEITURA DE FLORIANÓPOLIS</w:t>
    </w:r>
  </w:p>
  <w:p w:rsidR="00693D5E" w:rsidRPr="00BE1AE8" w:rsidRDefault="00693D5E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693D5E" w:rsidRPr="00BE1AE8" w:rsidRDefault="00693D5E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693D5E" w:rsidRDefault="00693D5E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693D5E" w:rsidRPr="00BE1AE8" w:rsidRDefault="00693D5E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25C"/>
    <w:rsid w:val="00064620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033C"/>
    <w:rsid w:val="0023341C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17FD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93D5E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273C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5B20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46FA9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55E9"/>
    <w:rsid w:val="00F679AE"/>
    <w:rsid w:val="00F82EE4"/>
    <w:rsid w:val="00F864D9"/>
    <w:rsid w:val="00FA57A9"/>
    <w:rsid w:val="00FA67CB"/>
    <w:rsid w:val="00FA6975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7E24519-ED05-4BC9-A801-F5D370BB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56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56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56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2019-06-07T16:34:00Z</dcterms:created>
  <dcterms:modified xsi:type="dcterms:W3CDTF">2019-06-07T16:34:00Z</dcterms:modified>
</cp:coreProperties>
</file>