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07D" w:rsidRDefault="00EC607D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C607D" w:rsidRPr="00637B5E" w:rsidRDefault="00EC607D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PREENCHIMENTO DO ROTEIRO DE AUTO-INSPEÇÃO</w:t>
      </w:r>
    </w:p>
    <w:p w:rsidR="00EC607D" w:rsidRDefault="00EC607D" w:rsidP="00BE1AE8">
      <w:pPr>
        <w:jc w:val="center"/>
        <w:rPr>
          <w:shd w:val="clear" w:color="auto" w:fill="FFFF66"/>
        </w:rPr>
      </w:pPr>
    </w:p>
    <w:p w:rsidR="00EC607D" w:rsidRPr="00637B5E" w:rsidRDefault="00EC607D" w:rsidP="00BE1AE8">
      <w:pPr>
        <w:jc w:val="center"/>
        <w:rPr>
          <w:shd w:val="clear" w:color="auto" w:fill="FFFF66"/>
        </w:rPr>
      </w:pP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 preenchimento deste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Os estabelecimentos e seus responsáveis estarão sujeitos às penalidades previstas na Lei Complementar nº 239/2006, sem prejuízo das demais sanções previstas na Legislação Estadual e Federal vigentes, quando constatado o preenchimento do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EC607D" w:rsidRPr="00637B5E" w:rsidRDefault="00EC607D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 xml:space="preserve">A constatação de infração sanitária pela autoridade de saúde, apontada falsamente como "em conformidade" no Roteiro de </w:t>
      </w:r>
      <w:proofErr w:type="spellStart"/>
      <w:r w:rsidRPr="00637B5E">
        <w:rPr>
          <w:rFonts w:ascii="Arial" w:hAnsi="Arial" w:cs="Arial"/>
          <w:sz w:val="20"/>
          <w:szCs w:val="20"/>
        </w:rPr>
        <w:t>Auto-Inspeção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EC607D" w:rsidRPr="00245A38" w:rsidRDefault="00EC607D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C91D8E" w:rsidRPr="00C90C72" w:rsidRDefault="00EC607D" w:rsidP="00873CEE">
      <w:pPr>
        <w:jc w:val="center"/>
        <w:rPr>
          <w:rFonts w:ascii="Arial" w:hAnsi="Arial" w:cs="Arial"/>
          <w:b/>
          <w:sz w:val="20"/>
          <w:szCs w:val="20"/>
        </w:rPr>
      </w:pPr>
      <w:r w:rsidRPr="00C90C72">
        <w:rPr>
          <w:rFonts w:ascii="Arial" w:hAnsi="Arial" w:cs="Arial"/>
          <w:b/>
          <w:sz w:val="20"/>
          <w:szCs w:val="20"/>
        </w:rPr>
        <w:lastRenderedPageBreak/>
        <w:t xml:space="preserve">ROTEIRO DE AUTO-INSPEÇÃO PARA </w:t>
      </w:r>
      <w:r w:rsidR="00873CEE">
        <w:rPr>
          <w:rFonts w:ascii="Arial" w:hAnsi="Arial" w:cs="Arial"/>
          <w:b/>
          <w:sz w:val="20"/>
          <w:szCs w:val="20"/>
        </w:rPr>
        <w:t>COMÉRCIO ATACADISTA DE MEDICAMENTOS E DROGAS DE USO HUMANO – CNAE 4644-3/01</w:t>
      </w:r>
    </w:p>
    <w:p w:rsidR="00C90C72" w:rsidRDefault="00C90C72" w:rsidP="005E341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C607D" w:rsidRPr="00BB0D46" w:rsidRDefault="00EC607D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EC607D" w:rsidRDefault="00EC607D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EC607D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EC607D" w:rsidRPr="00BB0D46" w:rsidRDefault="00EC607D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EC607D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EC607D" w:rsidRPr="00BB0D46" w:rsidRDefault="00EC607D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EC607D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EC607D" w:rsidRPr="00BB0D46" w:rsidRDefault="00EC607D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EC607D" w:rsidRPr="00245A38" w:rsidTr="00BB0D46">
        <w:trPr>
          <w:trHeight w:val="708"/>
        </w:trPr>
        <w:tc>
          <w:tcPr>
            <w:tcW w:w="6948" w:type="dxa"/>
            <w:vAlign w:val="center"/>
          </w:tcPr>
          <w:p w:rsidR="00EC607D" w:rsidRPr="00BB0D46" w:rsidRDefault="00EC607D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EC607D" w:rsidRPr="00BB0D46" w:rsidRDefault="00EC607D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EC607D" w:rsidRPr="00BB0D46" w:rsidRDefault="00EC607D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EC607D" w:rsidRPr="00245A38" w:rsidRDefault="00EC607D">
      <w:pPr>
        <w:rPr>
          <w:rFonts w:ascii="Arial" w:hAnsi="Arial" w:cs="Arial"/>
          <w:sz w:val="20"/>
          <w:szCs w:val="20"/>
        </w:rPr>
      </w:pPr>
    </w:p>
    <w:p w:rsidR="00EC607D" w:rsidRPr="003D43B8" w:rsidRDefault="00EC607D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EC607D" w:rsidRDefault="00EC607D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EC607D" w:rsidRDefault="00EC607D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EC607D" w:rsidRDefault="00EC607D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EC607D" w:rsidRPr="003D43B8" w:rsidRDefault="00EC607D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EC607D" w:rsidRDefault="00EC607D">
      <w:pPr>
        <w:rPr>
          <w:rFonts w:ascii="Arial" w:hAnsi="Arial" w:cs="Arial"/>
          <w:sz w:val="20"/>
          <w:szCs w:val="20"/>
        </w:rPr>
      </w:pP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425"/>
        <w:gridCol w:w="426"/>
        <w:gridCol w:w="567"/>
        <w:gridCol w:w="567"/>
        <w:gridCol w:w="2268"/>
      </w:tblGrid>
      <w:tr w:rsidR="00EC607D" w:rsidRPr="004D7F83" w:rsidTr="0010259E">
        <w:trPr>
          <w:trHeight w:val="704"/>
          <w:jc w:val="center"/>
        </w:trPr>
        <w:tc>
          <w:tcPr>
            <w:tcW w:w="6941" w:type="dxa"/>
            <w:vAlign w:val="center"/>
          </w:tcPr>
          <w:p w:rsidR="00BB21B1" w:rsidRPr="004D7F83" w:rsidRDefault="00BB21B1" w:rsidP="0001353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6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67" w:type="dxa"/>
            <w:vAlign w:val="center"/>
          </w:tcPr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7" w:type="dxa"/>
          </w:tcPr>
          <w:p w:rsidR="0010259E" w:rsidRDefault="0010259E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2268" w:type="dxa"/>
            <w:vAlign w:val="center"/>
          </w:tcPr>
          <w:p w:rsidR="0010259E" w:rsidRDefault="0010259E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607D" w:rsidRPr="004D7F83" w:rsidRDefault="00EC607D" w:rsidP="001D60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EC607D" w:rsidRPr="004D7F83" w:rsidTr="0010259E">
        <w:trPr>
          <w:jc w:val="center"/>
        </w:trPr>
        <w:tc>
          <w:tcPr>
            <w:tcW w:w="6941" w:type="dxa"/>
          </w:tcPr>
          <w:p w:rsidR="00EC607D" w:rsidRPr="00696E5B" w:rsidRDefault="0001353C" w:rsidP="00696E5B">
            <w:pPr>
              <w:autoSpaceDE w:val="0"/>
              <w:autoSpaceDN w:val="0"/>
              <w:adjustRightInd w:val="0"/>
              <w:ind w:left="720"/>
              <w:jc w:val="center"/>
              <w:rPr>
                <w:rFonts w:ascii="CIDFont+F1" w:eastAsia="Times New Roman" w:hAnsi="CIDFont+F1" w:cs="CIDFont+F1"/>
                <w:b/>
                <w:sz w:val="20"/>
                <w:szCs w:val="20"/>
                <w:lang w:eastAsia="pt-BR"/>
              </w:rPr>
            </w:pPr>
            <w:r w:rsidRPr="00696E5B">
              <w:rPr>
                <w:rFonts w:ascii="CIDFont+F1" w:eastAsia="Times New Roman" w:hAnsi="CIDFont+F1" w:cs="CIDFont+F1"/>
                <w:b/>
                <w:sz w:val="20"/>
                <w:szCs w:val="20"/>
                <w:lang w:eastAsia="pt-BR"/>
              </w:rPr>
              <w:t>INFRASTUTURA</w:t>
            </w:r>
          </w:p>
          <w:p w:rsidR="00BB21B1" w:rsidRPr="00BB21B1" w:rsidRDefault="00BB21B1" w:rsidP="00BB21B1">
            <w:pPr>
              <w:pStyle w:val="PargrafodaLista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622D2" w:rsidRDefault="00B622D2" w:rsidP="00B622D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RDC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nº 16 de 2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014 da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ANVISA. </w:t>
            </w:r>
          </w:p>
          <w:p w:rsidR="00B622D2" w:rsidRDefault="00B622D2" w:rsidP="00B622D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RDC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nº </w:t>
            </w:r>
            <w:r w:rsidR="00B439D0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430 DE 2020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da ANVISA.</w:t>
            </w:r>
          </w:p>
          <w:p w:rsidR="00EC607D" w:rsidRDefault="00B622D2" w:rsidP="00B62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  <w:p w:rsidR="00212F76" w:rsidRDefault="00212F76" w:rsidP="00B62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Portaria SVS/MS nº 344 de 1998 e 06 de 1999</w:t>
            </w:r>
            <w:r w:rsidR="00035B9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035B90" w:rsidRDefault="00035B90" w:rsidP="00B622D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5991 de 1973</w:t>
            </w:r>
          </w:p>
        </w:tc>
      </w:tr>
      <w:tr w:rsidR="00EC607D" w:rsidRPr="004D7F83" w:rsidTr="0010259E">
        <w:trPr>
          <w:jc w:val="center"/>
        </w:trPr>
        <w:tc>
          <w:tcPr>
            <w:tcW w:w="6941" w:type="dxa"/>
          </w:tcPr>
          <w:p w:rsidR="00EC607D" w:rsidRPr="00BB21B1" w:rsidRDefault="008A0BDB" w:rsidP="004D163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B93C76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As instalações são mantidas em bom estado de conservação, higiene e limpeza?</w:t>
            </w:r>
          </w:p>
        </w:tc>
        <w:tc>
          <w:tcPr>
            <w:tcW w:w="425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622D2" w:rsidRPr="00375154" w:rsidRDefault="00B622D2" w:rsidP="003023AF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0259E">
        <w:trPr>
          <w:trHeight w:val="179"/>
          <w:jc w:val="center"/>
        </w:trPr>
        <w:tc>
          <w:tcPr>
            <w:tcW w:w="6941" w:type="dxa"/>
          </w:tcPr>
          <w:p w:rsidR="00EC607D" w:rsidRPr="00C91D8E" w:rsidRDefault="008A0BDB" w:rsidP="00B93C76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B93C76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Possui área de recebimento e expedição de medicamentos separadas entre si? Nos casos em que a separação física não for possível é adotada a alternância de horários, a delimitação da área comum, a codificação por cores ou outros procedimentos para a diminuição do risco de trocas?</w:t>
            </w:r>
          </w:p>
        </w:tc>
        <w:tc>
          <w:tcPr>
            <w:tcW w:w="425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0259E">
        <w:trPr>
          <w:jc w:val="center"/>
        </w:trPr>
        <w:tc>
          <w:tcPr>
            <w:tcW w:w="6941" w:type="dxa"/>
          </w:tcPr>
          <w:p w:rsidR="00EC607D" w:rsidRPr="006F083A" w:rsidRDefault="008A0BDB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 distribuidora possui área de armazenagem geral de medicamentos?</w:t>
            </w:r>
          </w:p>
        </w:tc>
        <w:tc>
          <w:tcPr>
            <w:tcW w:w="425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0259E">
        <w:trPr>
          <w:jc w:val="center"/>
        </w:trPr>
        <w:tc>
          <w:tcPr>
            <w:tcW w:w="6941" w:type="dxa"/>
          </w:tcPr>
          <w:p w:rsidR="00EC607D" w:rsidRPr="006F083A" w:rsidRDefault="008A0BDB" w:rsidP="00B93C76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Possui área ou local de armazenagem de medicamentos devolvidos?</w:t>
            </w:r>
          </w:p>
        </w:tc>
        <w:tc>
          <w:tcPr>
            <w:tcW w:w="425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0259E">
        <w:trPr>
          <w:jc w:val="center"/>
        </w:trPr>
        <w:tc>
          <w:tcPr>
            <w:tcW w:w="6941" w:type="dxa"/>
          </w:tcPr>
          <w:p w:rsidR="00EC607D" w:rsidRPr="006F083A" w:rsidRDefault="008A0BDB" w:rsidP="00B93C76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Possui área de armazenagem de medicamentos reprovados, vencidos, recolhidos, suspeitos de falsificação ou falsificados?</w:t>
            </w:r>
          </w:p>
        </w:tc>
        <w:tc>
          <w:tcPr>
            <w:tcW w:w="425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0259E">
        <w:trPr>
          <w:jc w:val="center"/>
        </w:trPr>
        <w:tc>
          <w:tcPr>
            <w:tcW w:w="6941" w:type="dxa"/>
          </w:tcPr>
          <w:p w:rsidR="00EC607D" w:rsidRPr="00BB21B1" w:rsidRDefault="008A0BDB" w:rsidP="00B93C76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Possui área ou local de armazenagem de medicamentos sujeitos ao regime especial de controle?</w:t>
            </w:r>
          </w:p>
        </w:tc>
        <w:tc>
          <w:tcPr>
            <w:tcW w:w="425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0259E">
        <w:trPr>
          <w:jc w:val="center"/>
        </w:trPr>
        <w:tc>
          <w:tcPr>
            <w:tcW w:w="6941" w:type="dxa"/>
          </w:tcPr>
          <w:p w:rsidR="00EC607D" w:rsidRPr="00BB21B1" w:rsidRDefault="008A0BDB" w:rsidP="00B93C76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Possui área de armazenagem de medicamentos com </w:t>
            </w:r>
            <w:proofErr w:type="spellStart"/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radionuclídeos</w:t>
            </w:r>
            <w:proofErr w:type="spellEnd"/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quando aplicável?</w:t>
            </w:r>
          </w:p>
        </w:tc>
        <w:tc>
          <w:tcPr>
            <w:tcW w:w="425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0259E">
        <w:trPr>
          <w:jc w:val="center"/>
        </w:trPr>
        <w:tc>
          <w:tcPr>
            <w:tcW w:w="6941" w:type="dxa"/>
          </w:tcPr>
          <w:p w:rsidR="00EC607D" w:rsidRPr="000B732E" w:rsidRDefault="008A0BDB" w:rsidP="00B93C76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Possui área segura e protegida, devidamente segregada e identificada para armazenamento de materiais inflamáveis, explosivos ou outras substâncias perigosas?</w:t>
            </w:r>
          </w:p>
        </w:tc>
        <w:tc>
          <w:tcPr>
            <w:tcW w:w="425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EC607D" w:rsidRPr="004D7F83" w:rsidTr="0010259E">
        <w:trPr>
          <w:jc w:val="center"/>
        </w:trPr>
        <w:tc>
          <w:tcPr>
            <w:tcW w:w="6941" w:type="dxa"/>
          </w:tcPr>
          <w:p w:rsidR="00375154" w:rsidRPr="00BB21B1" w:rsidRDefault="008A0BDB" w:rsidP="00B93C76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As áreas de armazenagem de medicamentos devolvidos, reprovados, vencidos, recolhidos, suspeitos de falsificação/falsificados, sujeitos a </w:t>
            </w:r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lastRenderedPageBreak/>
              <w:t xml:space="preserve">controle especial ou com </w:t>
            </w:r>
            <w:proofErr w:type="spellStart"/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radionuclídeos</w:t>
            </w:r>
            <w:proofErr w:type="spellEnd"/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são separadas das demais e possuem controle de acesso diferenciado?</w:t>
            </w:r>
          </w:p>
        </w:tc>
        <w:tc>
          <w:tcPr>
            <w:tcW w:w="425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EC607D" w:rsidRPr="004D7F83" w:rsidRDefault="00EC607D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EC607D" w:rsidRPr="00375154" w:rsidRDefault="00EC607D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93C76" w:rsidRPr="004D7F83" w:rsidTr="0010259E">
        <w:trPr>
          <w:jc w:val="center"/>
        </w:trPr>
        <w:tc>
          <w:tcPr>
            <w:tcW w:w="6941" w:type="dxa"/>
          </w:tcPr>
          <w:p w:rsidR="00B93C76" w:rsidRDefault="008A0BDB" w:rsidP="00B93C76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As áreas de armazenagem são dotadas de equipamentos e instrumentos necessários ao controle e ao monitoramento da temperatura e umidade requeridas?</w:t>
            </w:r>
          </w:p>
        </w:tc>
        <w:tc>
          <w:tcPr>
            <w:tcW w:w="425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3C76" w:rsidRPr="00375154" w:rsidRDefault="00B93C76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93C76" w:rsidRPr="004D7F83" w:rsidTr="0010259E">
        <w:trPr>
          <w:jc w:val="center"/>
        </w:trPr>
        <w:tc>
          <w:tcPr>
            <w:tcW w:w="6941" w:type="dxa"/>
          </w:tcPr>
          <w:p w:rsidR="00B93C76" w:rsidRDefault="008A0BDB" w:rsidP="00B93C76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 distribuidora possui área de depósito de materiais de limpeza?</w:t>
            </w:r>
          </w:p>
        </w:tc>
        <w:tc>
          <w:tcPr>
            <w:tcW w:w="425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3C76" w:rsidRPr="00375154" w:rsidRDefault="00B93C76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93C76" w:rsidRPr="004D7F83" w:rsidTr="0010259E">
        <w:trPr>
          <w:jc w:val="center"/>
        </w:trPr>
        <w:tc>
          <w:tcPr>
            <w:tcW w:w="6941" w:type="dxa"/>
          </w:tcPr>
          <w:p w:rsidR="00B93C76" w:rsidRDefault="008A0BDB" w:rsidP="00B93C76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 distribuidora possui área de administração?</w:t>
            </w:r>
          </w:p>
        </w:tc>
        <w:tc>
          <w:tcPr>
            <w:tcW w:w="425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3C76" w:rsidRPr="00375154" w:rsidRDefault="00B93C76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93C76" w:rsidRPr="004D7F83" w:rsidTr="0010259E">
        <w:trPr>
          <w:jc w:val="center"/>
        </w:trPr>
        <w:tc>
          <w:tcPr>
            <w:tcW w:w="6941" w:type="dxa"/>
          </w:tcPr>
          <w:p w:rsidR="00B93C76" w:rsidRDefault="008A0BDB" w:rsidP="00B93C76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B732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As áreas de cantinas /refeitórios, vestiários, sanitários e lavatórios não possuem comunicação direta com as áreas de armazenagem?</w:t>
            </w:r>
          </w:p>
        </w:tc>
        <w:tc>
          <w:tcPr>
            <w:tcW w:w="425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93C76" w:rsidRPr="00375154" w:rsidRDefault="00B93C76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93C76" w:rsidRPr="004D7F83" w:rsidTr="0010259E">
        <w:trPr>
          <w:jc w:val="center"/>
        </w:trPr>
        <w:tc>
          <w:tcPr>
            <w:tcW w:w="6941" w:type="dxa"/>
          </w:tcPr>
          <w:p w:rsidR="000B732E" w:rsidRPr="00417EDD" w:rsidRDefault="000B732E" w:rsidP="00417EDD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  <w:p w:rsidR="00B93C76" w:rsidRPr="00417EDD" w:rsidRDefault="000B732E" w:rsidP="00417EDD">
            <w:pPr>
              <w:autoSpaceDE w:val="0"/>
              <w:autoSpaceDN w:val="0"/>
              <w:adjustRightInd w:val="0"/>
              <w:jc w:val="center"/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</w:pPr>
            <w:r w:rsidRPr="00417EDD"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  <w:t>EQUIPAMENTOS, MATERIAIS E PRODUTOS</w:t>
            </w:r>
          </w:p>
          <w:p w:rsidR="000B732E" w:rsidRDefault="000B732E" w:rsidP="00417EDD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93C76" w:rsidRPr="004D7F83" w:rsidRDefault="00B93C76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5B90" w:rsidRDefault="00035B90" w:rsidP="00035B90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RDC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nº 430 DE 2020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da ANVISA.</w:t>
            </w:r>
          </w:p>
          <w:p w:rsidR="00035B90" w:rsidRDefault="00035B90" w:rsidP="00035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  <w:p w:rsidR="00B93C76" w:rsidRPr="00375154" w:rsidRDefault="00035B90" w:rsidP="00035B90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Portaria SVS/MS nº 344 de 1998 e 06 de 1999</w:t>
            </w: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Pr="00417EDD" w:rsidRDefault="0091139A" w:rsidP="0091139A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1139A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As drogas, medicamentos e insumos, importados ou não, somente são entregues ao consumo nas embalagens originais ou em outras previamente autorizadas pelo ministério da saúde?</w:t>
            </w:r>
          </w:p>
        </w:tc>
        <w:tc>
          <w:tcPr>
            <w:tcW w:w="425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91139A" w:rsidRPr="004D7F83" w:rsidTr="0010259E">
        <w:trPr>
          <w:jc w:val="center"/>
        </w:trPr>
        <w:tc>
          <w:tcPr>
            <w:tcW w:w="6941" w:type="dxa"/>
          </w:tcPr>
          <w:p w:rsidR="0091139A" w:rsidRDefault="0091139A" w:rsidP="0091139A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1139A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Os medicamentos sujeitos a controle especial são guardados sob chave ou outro dispositivo que ofereça segurança em local específico para esse fim, sob a responsabilidade do responsável técnico?</w:t>
            </w:r>
          </w:p>
        </w:tc>
        <w:tc>
          <w:tcPr>
            <w:tcW w:w="425" w:type="dxa"/>
          </w:tcPr>
          <w:p w:rsidR="0091139A" w:rsidRPr="004D7F83" w:rsidRDefault="0091139A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91139A" w:rsidRPr="004D7F83" w:rsidRDefault="0091139A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1139A" w:rsidRPr="004D7F83" w:rsidRDefault="0091139A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1139A" w:rsidRPr="004D7F83" w:rsidRDefault="0091139A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139A" w:rsidRPr="00375154" w:rsidRDefault="0091139A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91139A" w:rsidP="0091139A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</w:t>
            </w:r>
            <w:r w:rsidR="008A0BDB" w:rsidRPr="00417EDD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s medicamentos avariados são retirados dos estoques utilizáveis e armazenados separadamente como reprovados?</w:t>
            </w:r>
          </w:p>
        </w:tc>
        <w:tc>
          <w:tcPr>
            <w:tcW w:w="425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417EDD" w:rsidRDefault="00417EDD" w:rsidP="008A0BDB">
            <w:pPr>
              <w:pStyle w:val="PargrafodaLista"/>
              <w:autoSpaceDE w:val="0"/>
              <w:autoSpaceDN w:val="0"/>
              <w:adjustRightInd w:val="0"/>
              <w:ind w:left="1080"/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</w:pPr>
          </w:p>
          <w:p w:rsidR="00417EDD" w:rsidRPr="00696E5B" w:rsidRDefault="00417EDD" w:rsidP="00696E5B">
            <w:pPr>
              <w:autoSpaceDE w:val="0"/>
              <w:autoSpaceDN w:val="0"/>
              <w:adjustRightInd w:val="0"/>
              <w:jc w:val="center"/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</w:pPr>
            <w:r w:rsidRPr="00696E5B"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  <w:t>PROCEDIMENTOS</w:t>
            </w:r>
          </w:p>
          <w:p w:rsidR="0091139A" w:rsidRPr="00417EDD" w:rsidRDefault="0091139A" w:rsidP="0091139A">
            <w:pPr>
              <w:pStyle w:val="PargrafodaLista"/>
              <w:autoSpaceDE w:val="0"/>
              <w:autoSpaceDN w:val="0"/>
              <w:adjustRightInd w:val="0"/>
              <w:ind w:left="1440"/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5B90" w:rsidRDefault="00035B90" w:rsidP="00035B90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RDC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nº 430 DE 2020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da ANVISA.</w:t>
            </w:r>
          </w:p>
          <w:p w:rsidR="00035B90" w:rsidRDefault="00035B90" w:rsidP="00035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  <w:p w:rsidR="000B732E" w:rsidRPr="00375154" w:rsidRDefault="00035B90" w:rsidP="00035B90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Portaria SVS/MS nº 344 de 1998 e 06 de 1999</w:t>
            </w: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A0BDB" w:rsidP="00B93C76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8A0BDB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Fornece medicamentos somente às empresas licenciadas e autorizadas pela autoridade sanitária para as atividades de distribuição ou dispensação de medicamentos?</w:t>
            </w:r>
          </w:p>
        </w:tc>
        <w:tc>
          <w:tcPr>
            <w:tcW w:w="425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A0BDB" w:rsidP="00B93C76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8A0BDB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 empresa garante a rastreabilidade da carga por meio do SNCM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 w:rsidR="0091139A" w:rsidRPr="008A0BDB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(ou</w:t>
            </w:r>
            <w:r w:rsidRPr="008A0BDB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comprovação documental pela distribuidora fornecedora que a origem é lícita e autêntica) nos casos de aquisição de medicamentos a partir de distribuidoras que não sejam detentoras do registro?</w:t>
            </w:r>
          </w:p>
        </w:tc>
        <w:tc>
          <w:tcPr>
            <w:tcW w:w="425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1D6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37515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empresa garante a rastreabi</w:t>
            </w:r>
            <w:r w:rsidR="0062556C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lidade da carga por meio do SNCM 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( ou comprovação documental pela </w:t>
            </w:r>
            <w:r w:rsidR="0062556C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distribuidora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fornecedora que a origem é lícita e autêntica) nos casos de aquisição de medicamentos a partir de distribuidoras que não sejam detentoras do registro?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Dispõe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de sistema de gestão da qualidade capaz de documentar, verificar e assegurar os requisitos específicos a cada operação com impacto na qualidade executada?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sistema de gestão da qualidade cobre todos os aspectos que influenciam a qualidade dos medicamentos ou dos serviços prestados?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trHeight w:val="319"/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área responsável pelo sistema de gestão da qualidade possui autonomia hierárquica e recursos necessários para o exercício de suas funções?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Possui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serviço de atendimento para o recebimento de reclamações estabelecido e divulgado?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As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reclamações relacionadas com a qualidade, autenticidade, legalidade ou integridade dos medicamentos e ocorrência de eventos adversos são registradas e investigadas?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As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reclamações relacionadas aos desvios de qualidade são registradas separadamente das relacionadas às atividades de distribuição, armazenagem ou transporte?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As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reclamações relacionadas aos desvios de qualidade são repassadas ao fabricante ou detentor do registro?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lastRenderedPageBreak/>
              <w:t>Em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casos de ações de recolhimento os mapas de distribuição são prontamente recuperáveis durante tempo condizente com a validade dos medicamentos distribuídos?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Realiza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simulação de reconciliação entre as unidades distribuídas e localizadas nos clientes, uma vez ao ano para o pior caso da rede de distribuição, com o intuito de testar a efetividade do recolhimento e corrigir possíveis falhas?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Notifica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imediatamente todos os clientes e autoridades sanitárias competentes, de todos os países a que determinado medicamento tenha sido distribuído, em casos de constatação da necessidade de recolhimento de determinado lote? (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São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mantidos registros?)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Realiza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programa de auto inspeção de todos os processos com impacto na qualidade?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As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auto inspeções são conduzidas por profissionais não vinculados hierarquicamente ao processo ou departamento inspecionado?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Existem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relatórios das auto inspeções contendo no mínimo as seguintes informações: opção: • identificação da equipe de inspetores; • período; • não conformidades identificadas; • ações corretivas e preventivas; • ações de acompanhamento da adoção e monitoramento da eficácia das ações corretivas e preventivas; • avaliação e concordância das chefias de cada departamento afetado;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Realiza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 qualificação e validação de equipamentos e sistemas informatizados antes de seu uso ou depois de qualquer mudança significativa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monitoramento da temperatura e umidade nas áreas de armazenagem é realizado por instrumentos posicionados de acordo com o estudo de qualificação térmica da área?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No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caso de leitura dos instrumentos de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monitoramento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(de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temperatura e umidade) de forma intermitente, esta é feita nos períodos de maior criticidade?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4D7F83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Re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aliza o registro do monitoramento da temperatura e umidade?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Os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registros são armazenados por pelo menos dois anos após a sua geração?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Opção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: * são armazenados por pelo menos dois anos após a sua geração.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B732E" w:rsidRPr="00F276B0" w:rsidTr="0010259E">
        <w:trPr>
          <w:jc w:val="center"/>
        </w:trPr>
        <w:tc>
          <w:tcPr>
            <w:tcW w:w="6941" w:type="dxa"/>
          </w:tcPr>
          <w:p w:rsidR="000B732E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Durante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o armazenamento os medicamentos não estão posicionados diretamente no chão ou encostados nas paredes, guardam distância mínima do telhado e não estão em locais de incidência direta da luz solar?</w:t>
            </w:r>
          </w:p>
        </w:tc>
        <w:tc>
          <w:tcPr>
            <w:tcW w:w="425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B732E" w:rsidRPr="004D7F83" w:rsidRDefault="000B732E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B732E" w:rsidRPr="00375154" w:rsidRDefault="000B732E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91139A" w:rsidRPr="00F276B0" w:rsidTr="0010259E">
        <w:trPr>
          <w:jc w:val="center"/>
        </w:trPr>
        <w:tc>
          <w:tcPr>
            <w:tcW w:w="6941" w:type="dxa"/>
          </w:tcPr>
          <w:p w:rsidR="0091139A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Realiza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inventários periódicos de estoque?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As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discrepâncias são registradas e investigadas para assegurar que não tenham ocorrido misturas, faturamentos incorretos ou furtos?</w:t>
            </w:r>
          </w:p>
        </w:tc>
        <w:tc>
          <w:tcPr>
            <w:tcW w:w="425" w:type="dxa"/>
          </w:tcPr>
          <w:p w:rsidR="0091139A" w:rsidRPr="004D7F83" w:rsidRDefault="0091139A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91139A" w:rsidRPr="004D7F83" w:rsidRDefault="0091139A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1139A" w:rsidRPr="004D7F83" w:rsidRDefault="0091139A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1139A" w:rsidRPr="004D7F83" w:rsidRDefault="0091139A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139A" w:rsidRPr="00375154" w:rsidRDefault="0091139A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91139A" w:rsidRPr="00F276B0" w:rsidTr="0010259E">
        <w:trPr>
          <w:jc w:val="center"/>
        </w:trPr>
        <w:tc>
          <w:tcPr>
            <w:tcW w:w="6941" w:type="dxa"/>
          </w:tcPr>
          <w:p w:rsidR="0091139A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cada operação de recebimento são verificados e registrados: opção: • condições de transporte e armazenagem; • números de lote, data de validade e quantidades recebidas; • integridade da carga;</w:t>
            </w:r>
          </w:p>
        </w:tc>
        <w:tc>
          <w:tcPr>
            <w:tcW w:w="425" w:type="dxa"/>
          </w:tcPr>
          <w:p w:rsidR="0091139A" w:rsidRPr="004D7F83" w:rsidRDefault="0091139A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91139A" w:rsidRPr="004D7F83" w:rsidRDefault="0091139A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1139A" w:rsidRPr="004D7F83" w:rsidRDefault="0091139A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91139A" w:rsidRPr="004D7F83" w:rsidRDefault="0091139A" w:rsidP="000B73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139A" w:rsidRPr="00375154" w:rsidRDefault="0091139A" w:rsidP="000B732E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As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cargas que não cumpram com os requerimentos do recebimento são devolvidas no ato do recebimento ou postas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em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quarentena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aguardando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 disposição pela garantia da qualidade?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Assegura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que o fracionamento de medicamentos a partir de suas embalagens de transporte não viole a embalagem secundária?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operação de fracionamento é realizada de acordo com ordens de separação específicas à quantidade a ser fracionada e dispõe de registro específico com conferência final?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8E437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s arquivos eletrônicos relacionados à expedição incluem pelo menos as seguintes informações: opção: • data da expedição ou recebimento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; • razão social, endereço e CNPJ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do transportador; • nome completo e documento de identificação do motorista;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• razão social, endereço e CNPJ 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do destinatário; • descrição dos medicamentos incluindo nome e apresentação; • quantidade, números de lote e validade; • condições de transporte e armazenagem aplicáveis; • número único para permitir a identificação da ordem de entrega; • número da nota fiscal;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lastRenderedPageBreak/>
              <w:t>A nota fiscal emitida pela distribuidora contém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os números de lote e dados da origem dos medicamentos transacionados?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Assegura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 rastreabilidade de todas as operações envolvendo as atividades de armazenamento, transporte e distribuição de produtos sob controle sanitário e seus insumos?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Possui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ações que minimizem a exposição à temperatura ambiente durante o recebimento e expedição de medicamentos termolábeis, incluindo, se necessário, a adoção de áreas refrigeradas junto aos espaços de recebimento e expedição?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distribuidora realiza a ação de registrar o tempo total de exposição dos medicamentos termolábeis à temperatura ambiente durante os processos de recebimento e exposição?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armazenagem dos medicamentos termolábeis é feita de acordo com as recomendações do detentor do registro em meio que seja qualificável termicamente?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distribuidora possui planos de contingência elaborados para proteger os medicamentos termolábeis em caso de falha da energia elétrica?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Os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equipamentos de armazenagem de medicamentos termolábeis possuem além da fonte primária de energia elétrica, uma fonte alternativa capaz de efetuar o suprimento de energia no caso de falhas da fonte primária?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No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caso de uso de gelo seco ou nitrogênio líquido como medidas emergenciais de resfriamento são mantidas as condições de conservação estabelecidas pelo detentor do registro?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Na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impossibilidade de adoção de sistema de barreira para os locais de armazenamento de medicamentos termolábeis, a movimentação de estoque é planejada antecipadamente para diminuir ao máximo as variações de temperatura?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ordenamento de carga nos veículos ou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containers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é realizado de forma a evitar danos aos medicamentos?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Os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veículos e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containers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são carregados cuidadosamente e sistematicamente e quando aplicável seguem a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sequência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primeiro que entra, último que sai?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Os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cronogramas de entrega e as rotas são estabelecidos de acordo com as necessidades e condições locais?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distribuidora contratante de serviços de transporte de medicamentos qualifica os transportadores?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distribuidora contratante de serviços de transporte de medicamentos presta orientação e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assistência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técnica para os casos de acidentes envolvendo os medicamentos sob transporte, juntamente com o responsável técnico da empresa contratada?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Caso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 distribuidora realize também o transporte, dispõe de manifesto de carga transportada com a previsão de desembarque a bordo do veículo transportador?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Caso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 distribuidora realize o transporte, monitora as condições de transporte relacionadas ás especificações de temperatura,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acondicionamento,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armazenagem e umidade do medicamento utilizando instrumentos calibrados?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(Verificar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isenção da obrigatoriedade nos casos descritos no § 2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º,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do mesmo artigo)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Caso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 distribuidora realize o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transporte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, aplica sistemas passivos ou ativos de controle de temperatura e umidade que sejam necessários à manutenção das condições requeridas pelo registro sanitário ou outras especificações aplicáveis?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(Verificar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isenção nos casos descritos no § 1º, do mesmo artigo)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Caso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 distribuidora realize o transporte,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os sistemas utilizados dispõem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de mecanismos que forneçam evidências de acessos não autorizados?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Caso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 distribuidora realize o transporte, provê acesso restrito aos medicamentos?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C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aso a distribuidora realize o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transporte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, os veículos, equipamentos e contêineres não expõem os medicamentos a condições que possam afetar 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lastRenderedPageBreak/>
              <w:t>sua estabilidade e integridade de sua embalagem ou gerar contaminações de qualquer natureza?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Caso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 distribuidora realize o transporte os veículos e contêineres dispõe de manutenção e limpeza adequadas?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Caso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 distribuidora realize o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transporte,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identifica de forma clara e segura os medicamentos recolhidos ou devolvidos, bem como aqueles suspeitos de falsificação e, quando possível utiliza mecanismos que permitam a segregação durante o transporte?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8E4372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Caso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 distribuidora realize o transporte, os casos de sinistro, roubo ou furto de medicamentos </w:t>
            </w:r>
            <w:proofErr w:type="spellStart"/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radio</w:t>
            </w:r>
            <w:r w:rsidR="0062556C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fármacos</w:t>
            </w:r>
            <w:proofErr w:type="spellEnd"/>
            <w:r w:rsidR="0062556C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são comunicados ao CNEN</w:t>
            </w:r>
            <w:bookmarkStart w:id="0" w:name="_GoBack"/>
            <w:bookmarkEnd w:id="0"/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696E5B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transporte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de medicamentos termolábeis é feito em meio qualificável do ponto de vista térmico?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696E5B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São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realizados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o monitoramento e o controle da temperatura durante a armazenagem e o transporte dos medicamentos termolábeis?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696E5B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disposição das cargas de medicamentos termolábeis evita a exposição direta dos medicamentos aos agentes refrigerantes utilizados para a conservação da temperatura?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696E5B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empresa que realiza o transporte de medicamentos fornece ao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contratante (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distribuidora) todos os dados relativos às condições de conservação durante o transporte, bem como durante a armazenagem em </w:t>
            </w: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trânsito? (</w:t>
            </w:r>
            <w:r w:rsidR="0062556C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Pedir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para ver os documentos na vistoria da distribuidora)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696E5B" w:rsidP="006B68F2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É</w:t>
            </w:r>
            <w:r w:rsidR="006B68F2" w:rsidRPr="006B68F2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proibido fumar, comer, beber, mascar, manter plantas, alimentos, medicamentos pessoais, objetos pessoais ou qualquer objeto estranho ao setor nas áreas de armazenagem, armazenagem em trânsito, recebimento e expedição?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696E5B" w:rsidRPr="000D5D18" w:rsidRDefault="00696E5B" w:rsidP="000D5D18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  <w:p w:rsidR="00B83CC4" w:rsidRPr="000D5D18" w:rsidRDefault="00696E5B" w:rsidP="000D5D18">
            <w:pPr>
              <w:autoSpaceDE w:val="0"/>
              <w:autoSpaceDN w:val="0"/>
              <w:adjustRightInd w:val="0"/>
              <w:jc w:val="center"/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</w:pPr>
            <w:r w:rsidRPr="000D5D18"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  <w:t>RECURSOS HUMANOS</w:t>
            </w:r>
          </w:p>
          <w:p w:rsidR="00696E5B" w:rsidRPr="000D5D18" w:rsidRDefault="00696E5B" w:rsidP="000D5D18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5B90" w:rsidRDefault="00035B90" w:rsidP="00035B90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RDC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nº 430 DE 2020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da ANVISA.</w:t>
            </w:r>
          </w:p>
          <w:p w:rsidR="00035B90" w:rsidRDefault="00035B90" w:rsidP="00035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  <w:p w:rsidR="00B83CC4" w:rsidRDefault="00035B90" w:rsidP="00035B9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Portaria SVS/MS nº 344 de 1998 e 06 de 1999</w:t>
            </w:r>
          </w:p>
          <w:p w:rsidR="00035B90" w:rsidRPr="00375154" w:rsidRDefault="00035B90" w:rsidP="00035B90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5991 de 1973</w:t>
            </w: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0D5D18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D5D18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 distribuidora possui farmacêutico responsável técnico devidamente inscrito no conselho regional de farmácia?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0D5D18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D5D18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Possui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c</w:t>
            </w:r>
            <w:r w:rsidRPr="000D5D18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ertific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ado de responsabilidade técnica emitido pelo Conselho regional de Classe?</w:t>
            </w:r>
            <w:r w:rsidRPr="000D5D18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0D5D18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D5D18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 distribuidora possui número apropriado de funcionários com qualificações adequadas? (Garantindo que as responsabilidades atribuídas individualmente não sejam tão extensas a ponto de apresentar riscos à qualidade do produto)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0D5D18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D5D18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São estabelecidos requisitos relacionados a saúde, higiene e vestuário do pessoal conforme as atividades a serem realizadas?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0D5D18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D5D18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Os funcionários recebem treinamento inicial e periódico de acordo com a complexidade das atividades?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0D5D18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0D5D18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São mantidos registros dos treinamentos que permitam identificar o treinando, a data da execução, a carga horária, a estratégia utilizada, os assuntos abordados e a avaliação de eficácia?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0D5D18" w:rsidRDefault="000D5D18" w:rsidP="000D5D18">
            <w:pPr>
              <w:autoSpaceDE w:val="0"/>
              <w:autoSpaceDN w:val="0"/>
              <w:adjustRightInd w:val="0"/>
              <w:jc w:val="center"/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</w:pPr>
          </w:p>
          <w:p w:rsidR="00B83CC4" w:rsidRDefault="00F61495" w:rsidP="000D5D18">
            <w:pPr>
              <w:autoSpaceDE w:val="0"/>
              <w:autoSpaceDN w:val="0"/>
              <w:adjustRightInd w:val="0"/>
              <w:jc w:val="center"/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</w:pPr>
            <w:r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  <w:t>DOCUMENTAÇÃO – PARTE 1</w:t>
            </w:r>
          </w:p>
          <w:p w:rsidR="000D5D18" w:rsidRDefault="000D5D18" w:rsidP="000D5D18">
            <w:pPr>
              <w:autoSpaceDE w:val="0"/>
              <w:autoSpaceDN w:val="0"/>
              <w:adjustRightInd w:val="0"/>
              <w:jc w:val="center"/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</w:pPr>
          </w:p>
          <w:p w:rsidR="00035B90" w:rsidRDefault="00035B90" w:rsidP="000D5D18">
            <w:pPr>
              <w:autoSpaceDE w:val="0"/>
              <w:autoSpaceDN w:val="0"/>
              <w:adjustRightInd w:val="0"/>
              <w:jc w:val="center"/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</w:pPr>
          </w:p>
          <w:p w:rsidR="00035B90" w:rsidRDefault="00035B90" w:rsidP="000D5D18">
            <w:pPr>
              <w:autoSpaceDE w:val="0"/>
              <w:autoSpaceDN w:val="0"/>
              <w:adjustRightInd w:val="0"/>
              <w:jc w:val="center"/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</w:pPr>
          </w:p>
          <w:p w:rsidR="00035B90" w:rsidRDefault="00035B90" w:rsidP="000D5D18">
            <w:pPr>
              <w:autoSpaceDE w:val="0"/>
              <w:autoSpaceDN w:val="0"/>
              <w:adjustRightInd w:val="0"/>
              <w:jc w:val="center"/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</w:pPr>
          </w:p>
          <w:p w:rsidR="00035B90" w:rsidRDefault="00035B90" w:rsidP="000D5D18">
            <w:pPr>
              <w:autoSpaceDE w:val="0"/>
              <w:autoSpaceDN w:val="0"/>
              <w:adjustRightInd w:val="0"/>
              <w:jc w:val="center"/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</w:pPr>
          </w:p>
          <w:p w:rsidR="00035B90" w:rsidRDefault="00035B90" w:rsidP="000D5D18">
            <w:pPr>
              <w:autoSpaceDE w:val="0"/>
              <w:autoSpaceDN w:val="0"/>
              <w:adjustRightInd w:val="0"/>
              <w:jc w:val="center"/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</w:pPr>
          </w:p>
          <w:p w:rsidR="00035B90" w:rsidRDefault="00035B90" w:rsidP="000D5D18">
            <w:pPr>
              <w:autoSpaceDE w:val="0"/>
              <w:autoSpaceDN w:val="0"/>
              <w:adjustRightInd w:val="0"/>
              <w:jc w:val="center"/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</w:pPr>
          </w:p>
          <w:p w:rsidR="00035B90" w:rsidRPr="000D5D18" w:rsidRDefault="00035B90" w:rsidP="000D5D18">
            <w:pPr>
              <w:autoSpaceDE w:val="0"/>
              <w:autoSpaceDN w:val="0"/>
              <w:adjustRightInd w:val="0"/>
              <w:jc w:val="center"/>
              <w:rPr>
                <w:rFonts w:ascii="CIDFont+F2" w:eastAsia="Times New Roman" w:hAnsi="CIDFont+F2" w:cs="CIDFont+F2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35B90" w:rsidRDefault="00035B90" w:rsidP="00035B90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RDC 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nº 16 de 2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014 da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ANVISA. </w:t>
            </w:r>
          </w:p>
          <w:p w:rsidR="00035B90" w:rsidRDefault="00035B90" w:rsidP="00035B90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RDC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nº 430 DE 2020</w:t>
            </w:r>
            <w:r w:rsidRPr="00375154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da ANVISA.</w:t>
            </w:r>
          </w:p>
          <w:p w:rsidR="00035B90" w:rsidRDefault="00035B90" w:rsidP="00035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Federal nº 6.360 de 1976</w:t>
            </w:r>
          </w:p>
          <w:p w:rsidR="00B83CC4" w:rsidRPr="00375154" w:rsidRDefault="00035B90" w:rsidP="00035B90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Portaria SVS/MS nº 344 de 1998 e 06 de 1999</w:t>
            </w: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0259E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lastRenderedPageBreak/>
              <w:t>A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distribuidora possui livros de regist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ro específicos (medicamentos PF 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344)?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0259E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Os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livros de registro </w:t>
            </w: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específicos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(manual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ou informatizado) contém termo de abertura e encerramento lavrados pela autoridade sanitária?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0259E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Todas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as listas de medicamentos estão contempladas em livros específicos?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0259E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relação mensal de vendas de medicamentos sujeitos a controle </w:t>
            </w: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especial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</w:t>
            </w: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(</w:t>
            </w:r>
            <w:proofErr w:type="spellStart"/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rmv</w:t>
            </w:r>
            <w:proofErr w:type="spellEnd"/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) é entregue até o dia 15 de cada mês?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0259E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balanço de substâncias psicoativas e outras sujeitas a con</w:t>
            </w:r>
            <w:r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trole especial trimestral (BSPO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é entregue até o dia 15 dos meses de </w:t>
            </w:r>
            <w:proofErr w:type="spellStart"/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jan</w:t>
            </w:r>
            <w:proofErr w:type="spellEnd"/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/</w:t>
            </w:r>
            <w:proofErr w:type="spellStart"/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abr</w:t>
            </w:r>
            <w:proofErr w:type="spellEnd"/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/</w:t>
            </w:r>
            <w:proofErr w:type="spellStart"/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jul</w:t>
            </w:r>
            <w:proofErr w:type="spellEnd"/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/out?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0259E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Os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processos que impactam na qualidade dos medicamentos ou dos serviços são mapeados?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0259E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Os pops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são seguidos e estão disponíveis em seus respectivos locais de trabalho?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0259E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Os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pops e registros manuais ou eletrônicos são mantidos por no mínimo 5 anos após sua obsolescência?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0259E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Os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registros, manuais ou eletrônicos, são prontamente recuperáveis e armazenados usando medidas de segurança contra qualquer modificação não autorizada, danos, deterioração ou perda?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0259E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São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mantidos backups para os registros gerados ou armazenados em formato eletrônico?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0259E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Os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instrumentos de monitoramento da temperatura e umidade são calibrados antes de seu primeiro uso (solicitar comprovantes) e em intervalos definidos e justificados pelo desempenho do instrumento e sensibilidade da medida?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C23C8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Existem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registros do monitoramento das condições de umidade e temperatura, se sim, estes são armazenados por pelo menos dois anos após a sua geração?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C23C8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Caso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a empresa terceirize alguma das atividades (distribuição, armazenagem e transporte) a mesma é precedida pela aprovação do contrato pelo sistema de gestão da qualidade?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C23C8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Nos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casos de terceirização a qualificação do fornecedor é registrada?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C23C8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Nos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casos de terceirização o contrato entre o contratante e o contratado estabelece as responsabilidades de cada parte?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C23C8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Nos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casos de terceirização o contrato prevê que as subcontratações dependem da avaliação e aprovação prévias pelo contratante original?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C23C8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contratante fornece ao contratado todas as informações necessárias para a realização das operações contratadas de forma correta, de acordo com o registro do medicamento e quaisquer outras exigências legais?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B83CC4" w:rsidRDefault="001C23C8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contratante e o contratado atendem os requisitos legais e regulamentares que lhe são aplicáveis?</w:t>
            </w: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B83CC4" w:rsidRPr="00F276B0" w:rsidTr="0010259E">
        <w:trPr>
          <w:jc w:val="center"/>
        </w:trPr>
        <w:tc>
          <w:tcPr>
            <w:tcW w:w="6941" w:type="dxa"/>
          </w:tcPr>
          <w:p w:rsidR="009019CE" w:rsidRPr="009019CE" w:rsidRDefault="001C23C8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  <w:r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>O</w:t>
            </w:r>
            <w:r w:rsidR="009019CE" w:rsidRPr="009019CE"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  <w:t xml:space="preserve"> contratado possui instalações adequadas e pessoal qualificado para desempenhar satisfatoriamente o serviço solicitado pelo contratante?</w:t>
            </w:r>
          </w:p>
          <w:p w:rsidR="009019CE" w:rsidRDefault="009019CE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83CC4" w:rsidRPr="004D7F83" w:rsidRDefault="00B83CC4" w:rsidP="00B83C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B83CC4" w:rsidRPr="00375154" w:rsidRDefault="00B83CC4" w:rsidP="00B83CC4">
            <w:pPr>
              <w:autoSpaceDE w:val="0"/>
              <w:autoSpaceDN w:val="0"/>
              <w:adjustRightInd w:val="0"/>
              <w:jc w:val="both"/>
              <w:rPr>
                <w:rFonts w:ascii="CIDFont+F2" w:eastAsia="Times New Roman" w:hAnsi="CIDFont+F2" w:cs="CIDFont+F2"/>
                <w:sz w:val="20"/>
                <w:szCs w:val="20"/>
                <w:lang w:eastAsia="pt-BR"/>
              </w:rPr>
            </w:pPr>
          </w:p>
        </w:tc>
      </w:tr>
      <w:tr w:rsidR="000F2C7D" w:rsidRPr="004D7F83" w:rsidTr="001C23C8">
        <w:trPr>
          <w:jc w:val="center"/>
        </w:trPr>
        <w:tc>
          <w:tcPr>
            <w:tcW w:w="6941" w:type="dxa"/>
          </w:tcPr>
          <w:p w:rsidR="000F2C7D" w:rsidRDefault="000F2C7D" w:rsidP="000F2C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Default="00F61495" w:rsidP="000F2C7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DOCUMENTAÇÃO PARTE 2</w:t>
            </w:r>
          </w:p>
          <w:p w:rsidR="000F2C7D" w:rsidRPr="004D7F83" w:rsidRDefault="000F2C7D" w:rsidP="000F2C7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5" w:type="dxa"/>
            <w:vAlign w:val="center"/>
          </w:tcPr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426" w:type="dxa"/>
            <w:vAlign w:val="center"/>
          </w:tcPr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67" w:type="dxa"/>
            <w:vAlign w:val="center"/>
          </w:tcPr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F83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7" w:type="dxa"/>
          </w:tcPr>
          <w:p w:rsidR="001C23C8" w:rsidRDefault="001C23C8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2268" w:type="dxa"/>
            <w:vAlign w:val="center"/>
          </w:tcPr>
          <w:p w:rsidR="001C23C8" w:rsidRDefault="001C23C8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0F2C7D" w:rsidRPr="004D7F83" w:rsidTr="001C23C8">
        <w:trPr>
          <w:jc w:val="center"/>
        </w:trPr>
        <w:tc>
          <w:tcPr>
            <w:tcW w:w="6941" w:type="dxa"/>
          </w:tcPr>
          <w:p w:rsidR="000F2C7D" w:rsidRDefault="00531191" w:rsidP="00A037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Dispõe de pessoal qualificado e em quantidade suficiente para o desenvolvimento das atividades?</w:t>
            </w:r>
          </w:p>
        </w:tc>
        <w:tc>
          <w:tcPr>
            <w:tcW w:w="425" w:type="dxa"/>
            <w:vAlign w:val="center"/>
          </w:tcPr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F2C7D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F2C7D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7D" w:rsidRPr="004D7F83" w:rsidTr="001C23C8">
        <w:trPr>
          <w:jc w:val="center"/>
        </w:trPr>
        <w:tc>
          <w:tcPr>
            <w:tcW w:w="6941" w:type="dxa"/>
          </w:tcPr>
          <w:p w:rsidR="000F2C7D" w:rsidRPr="007C3A53" w:rsidRDefault="000F2C7D" w:rsidP="00A037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Certidão de Responsabilidade Técnica emitida pelo respectivo Conselho de Classe</w:t>
            </w:r>
          </w:p>
        </w:tc>
        <w:tc>
          <w:tcPr>
            <w:tcW w:w="425" w:type="dxa"/>
            <w:vAlign w:val="center"/>
          </w:tcPr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F2C7D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F2C7D" w:rsidRPr="004D7F83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C7D" w:rsidRPr="004D7F83" w:rsidTr="001C23C8">
        <w:trPr>
          <w:jc w:val="center"/>
        </w:trPr>
        <w:tc>
          <w:tcPr>
            <w:tcW w:w="6941" w:type="dxa"/>
          </w:tcPr>
          <w:p w:rsidR="000F2C7D" w:rsidRPr="007C3A53" w:rsidRDefault="000F2C7D" w:rsidP="00A0376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Autorização de Funcionamento de Empresa (AFE) emitida pela ANVISA, contemplando as atividades desenvolvidas</w:t>
            </w:r>
          </w:p>
        </w:tc>
        <w:tc>
          <w:tcPr>
            <w:tcW w:w="425" w:type="dxa"/>
            <w:vAlign w:val="center"/>
          </w:tcPr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F2C7D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F2C7D" w:rsidRPr="00BA425E" w:rsidRDefault="000F2C7D" w:rsidP="00A037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C7D" w:rsidRPr="004D7F83" w:rsidTr="001C23C8">
        <w:trPr>
          <w:jc w:val="center"/>
        </w:trPr>
        <w:tc>
          <w:tcPr>
            <w:tcW w:w="6941" w:type="dxa"/>
          </w:tcPr>
          <w:p w:rsidR="000F2C7D" w:rsidRPr="007C3A53" w:rsidRDefault="000F2C7D" w:rsidP="000F2C7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 xml:space="preserve">Autorização </w:t>
            </w:r>
            <w:r>
              <w:rPr>
                <w:rFonts w:ascii="Arial" w:hAnsi="Arial" w:cs="Arial"/>
                <w:sz w:val="20"/>
                <w:szCs w:val="20"/>
              </w:rPr>
              <w:t>Especial (A</w:t>
            </w:r>
            <w:r w:rsidRPr="007C3A53">
              <w:rPr>
                <w:rFonts w:ascii="Arial" w:hAnsi="Arial" w:cs="Arial"/>
                <w:sz w:val="20"/>
                <w:szCs w:val="20"/>
              </w:rPr>
              <w:t>E) emitida pela ANVISA, contemplando as atividades desenvolvidas</w:t>
            </w:r>
            <w:r>
              <w:rPr>
                <w:rFonts w:ascii="Arial" w:hAnsi="Arial" w:cs="Arial"/>
                <w:sz w:val="20"/>
                <w:szCs w:val="20"/>
              </w:rPr>
              <w:t>, se for caso</w:t>
            </w:r>
          </w:p>
        </w:tc>
        <w:tc>
          <w:tcPr>
            <w:tcW w:w="425" w:type="dxa"/>
            <w:vAlign w:val="center"/>
          </w:tcPr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0F2C7D" w:rsidRPr="004D7F83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0F2C7D" w:rsidRDefault="000F2C7D" w:rsidP="00A037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0F2C7D" w:rsidRPr="00BA425E" w:rsidRDefault="000F2C7D" w:rsidP="00A037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C7D" w:rsidRPr="004D7F83" w:rsidTr="001C23C8">
        <w:trPr>
          <w:jc w:val="center"/>
        </w:trPr>
        <w:tc>
          <w:tcPr>
            <w:tcW w:w="6941" w:type="dxa"/>
          </w:tcPr>
          <w:p w:rsidR="000F2C7D" w:rsidRPr="007C3A53" w:rsidRDefault="000F2C7D" w:rsidP="00A03764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Manual de Boas Práticas</w:t>
            </w:r>
          </w:p>
        </w:tc>
        <w:tc>
          <w:tcPr>
            <w:tcW w:w="425" w:type="dxa"/>
          </w:tcPr>
          <w:p w:rsidR="000F2C7D" w:rsidRPr="004D7F83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F2C7D" w:rsidRPr="004D7F83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F2C7D" w:rsidRPr="004D7F83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F2C7D" w:rsidRPr="004D7F83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F2C7D" w:rsidRPr="004D7F83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C7D" w:rsidRPr="004D7F83" w:rsidTr="001C23C8">
        <w:trPr>
          <w:jc w:val="center"/>
        </w:trPr>
        <w:tc>
          <w:tcPr>
            <w:tcW w:w="6941" w:type="dxa"/>
          </w:tcPr>
          <w:p w:rsidR="000F2C7D" w:rsidRPr="007C3A53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hAnsi="Arial" w:cs="Arial"/>
                <w:sz w:val="20"/>
                <w:szCs w:val="20"/>
              </w:rPr>
              <w:t>Procedimentos Operacionais Padrão</w:t>
            </w:r>
            <w:r w:rsidR="00F61495">
              <w:rPr>
                <w:rFonts w:ascii="Arial" w:hAnsi="Arial" w:cs="Arial"/>
                <w:sz w:val="20"/>
                <w:szCs w:val="20"/>
              </w:rPr>
              <w:t xml:space="preserve"> mínimos necessários</w:t>
            </w:r>
          </w:p>
        </w:tc>
        <w:tc>
          <w:tcPr>
            <w:tcW w:w="425" w:type="dxa"/>
          </w:tcPr>
          <w:p w:rsidR="000F2C7D" w:rsidRPr="004D7F83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0F2C7D" w:rsidRPr="004D7F83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F2C7D" w:rsidRPr="004D7F83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0F2C7D" w:rsidRPr="004D7F83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0F2C7D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91" w:rsidRPr="004D7F83" w:rsidTr="001C23C8">
        <w:trPr>
          <w:jc w:val="center"/>
        </w:trPr>
        <w:tc>
          <w:tcPr>
            <w:tcW w:w="6941" w:type="dxa"/>
          </w:tcPr>
          <w:p w:rsidR="00531191" w:rsidRPr="007C3A53" w:rsidRDefault="00531191" w:rsidP="00F6149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Possui organograma atualizado com as responsabilidades funcionais devidamente estabelecidas?</w:t>
            </w:r>
          </w:p>
        </w:tc>
        <w:tc>
          <w:tcPr>
            <w:tcW w:w="425" w:type="dxa"/>
          </w:tcPr>
          <w:p w:rsidR="00531191" w:rsidRPr="004D7F83" w:rsidRDefault="00531191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531191" w:rsidRPr="004D7F83" w:rsidRDefault="00531191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31191" w:rsidRPr="004D7F83" w:rsidRDefault="00531191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31191" w:rsidRPr="004D7F83" w:rsidRDefault="00531191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531191" w:rsidRDefault="00531191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C7D" w:rsidRPr="00F61495" w:rsidTr="001C23C8">
        <w:trPr>
          <w:jc w:val="center"/>
        </w:trPr>
        <w:tc>
          <w:tcPr>
            <w:tcW w:w="6941" w:type="dxa"/>
          </w:tcPr>
          <w:p w:rsidR="000F2C7D" w:rsidRPr="007C3A53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C3A5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Certificado de Controle de Vetores realizada por empresa habilitada</w:t>
            </w:r>
          </w:p>
        </w:tc>
        <w:tc>
          <w:tcPr>
            <w:tcW w:w="425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0F2C7D" w:rsidRPr="00F61495" w:rsidTr="001C23C8">
        <w:trPr>
          <w:jc w:val="center"/>
        </w:trPr>
        <w:tc>
          <w:tcPr>
            <w:tcW w:w="6941" w:type="dxa"/>
            <w:vAlign w:val="center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14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Programa de Controle Médico e Saúde Ocupacional (PCMSO)</w:t>
            </w:r>
          </w:p>
        </w:tc>
        <w:tc>
          <w:tcPr>
            <w:tcW w:w="425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14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NR 07</w:t>
            </w:r>
          </w:p>
        </w:tc>
      </w:tr>
      <w:tr w:rsidR="000F2C7D" w:rsidRPr="00F61495" w:rsidTr="001C23C8">
        <w:trPr>
          <w:jc w:val="center"/>
        </w:trPr>
        <w:tc>
          <w:tcPr>
            <w:tcW w:w="6941" w:type="dxa"/>
            <w:vAlign w:val="center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14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Programa de Prevenção de Riscos Ambientais (PPRA)</w:t>
            </w:r>
          </w:p>
        </w:tc>
        <w:tc>
          <w:tcPr>
            <w:tcW w:w="425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14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NR 09</w:t>
            </w:r>
          </w:p>
        </w:tc>
      </w:tr>
      <w:tr w:rsidR="000F2C7D" w:rsidRPr="00F61495" w:rsidTr="001C23C8">
        <w:trPr>
          <w:jc w:val="center"/>
        </w:trPr>
        <w:tc>
          <w:tcPr>
            <w:tcW w:w="6941" w:type="dxa"/>
            <w:vAlign w:val="center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14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Comprovação do recolhimento e destinação final dos Resíduos</w:t>
            </w:r>
          </w:p>
        </w:tc>
        <w:tc>
          <w:tcPr>
            <w:tcW w:w="425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14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RDC n.º 222/18</w:t>
            </w:r>
          </w:p>
        </w:tc>
      </w:tr>
      <w:tr w:rsidR="000F2C7D" w:rsidRPr="00F61495" w:rsidTr="001C23C8">
        <w:trPr>
          <w:jc w:val="center"/>
        </w:trPr>
        <w:tc>
          <w:tcPr>
            <w:tcW w:w="6941" w:type="dxa"/>
            <w:vAlign w:val="center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14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Atividades conferem com DAM?</w:t>
            </w:r>
          </w:p>
        </w:tc>
        <w:tc>
          <w:tcPr>
            <w:tcW w:w="425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567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</w:tcPr>
          <w:p w:rsidR="000F2C7D" w:rsidRPr="00F61495" w:rsidRDefault="000F2C7D" w:rsidP="00F61495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6149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Decreto Municipal 8543/10</w:t>
            </w:r>
          </w:p>
        </w:tc>
      </w:tr>
    </w:tbl>
    <w:p w:rsidR="000F2C7D" w:rsidRPr="00F61495" w:rsidRDefault="000F2C7D" w:rsidP="00F61495">
      <w:pPr>
        <w:autoSpaceDE w:val="0"/>
        <w:autoSpaceDN w:val="0"/>
        <w:adjustRightInd w:val="0"/>
        <w:rPr>
          <w:rFonts w:ascii="Arial" w:eastAsia="Times New Roman" w:hAnsi="Arial" w:cs="Arial"/>
          <w:sz w:val="20"/>
          <w:szCs w:val="20"/>
          <w:lang w:eastAsia="pt-BR"/>
        </w:rPr>
      </w:pPr>
    </w:p>
    <w:p w:rsidR="000F2C7D" w:rsidRDefault="000F2C7D" w:rsidP="00F61495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0F2C7D" w:rsidRPr="00245A38" w:rsidRDefault="000F2C7D" w:rsidP="000F2C7D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lastRenderedPageBreak/>
        <w:t>OBS:</w:t>
      </w:r>
    </w:p>
    <w:p w:rsidR="000F2C7D" w:rsidRPr="00245A38" w:rsidRDefault="000F2C7D" w:rsidP="000F2C7D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0F2C7D" w:rsidRPr="00245A38" w:rsidRDefault="000F2C7D" w:rsidP="000F2C7D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0F2C7D" w:rsidRPr="00245A38" w:rsidRDefault="000F2C7D" w:rsidP="000F2C7D">
      <w:pPr>
        <w:rPr>
          <w:rFonts w:ascii="Arial" w:hAnsi="Arial" w:cs="Arial"/>
          <w:sz w:val="20"/>
          <w:szCs w:val="20"/>
        </w:rPr>
      </w:pPr>
    </w:p>
    <w:p w:rsidR="000F2C7D" w:rsidRDefault="000F2C7D" w:rsidP="000F2C7D">
      <w:pPr>
        <w:jc w:val="center"/>
        <w:rPr>
          <w:rFonts w:ascii="Arial" w:hAnsi="Arial" w:cs="Arial"/>
          <w:b/>
          <w:sz w:val="20"/>
          <w:szCs w:val="20"/>
        </w:rPr>
      </w:pPr>
    </w:p>
    <w:p w:rsidR="000F2C7D" w:rsidRDefault="000F2C7D" w:rsidP="000F2C7D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0F2C7D" w:rsidRDefault="000F2C7D" w:rsidP="000F2C7D">
      <w:pPr>
        <w:jc w:val="center"/>
        <w:rPr>
          <w:rFonts w:ascii="Arial" w:hAnsi="Arial" w:cs="Arial"/>
          <w:b/>
          <w:sz w:val="20"/>
          <w:szCs w:val="20"/>
        </w:rPr>
      </w:pPr>
    </w:p>
    <w:p w:rsidR="000F2C7D" w:rsidRPr="00637B5E" w:rsidRDefault="000F2C7D" w:rsidP="000F2C7D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0F2C7D" w:rsidRPr="00637B5E" w:rsidRDefault="000F2C7D" w:rsidP="000F2C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0F2C7D" w:rsidRPr="00637B5E" w:rsidTr="00A03764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0F2C7D" w:rsidRPr="00637B5E" w:rsidRDefault="000F2C7D" w:rsidP="00A037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0F2C7D" w:rsidRPr="00637B5E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2C7D" w:rsidRPr="00637B5E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2C7D" w:rsidRPr="00637B5E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C7D" w:rsidRPr="00637B5E" w:rsidTr="00A03764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F2C7D" w:rsidRPr="00637B5E" w:rsidRDefault="000F2C7D" w:rsidP="00A037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Pr="00637B5E" w:rsidRDefault="000F2C7D" w:rsidP="00A037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Pr="00637B5E" w:rsidRDefault="000F2C7D" w:rsidP="00A037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F2C7D" w:rsidRPr="00637B5E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C7D" w:rsidRPr="00637B5E" w:rsidTr="00A03764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F2C7D" w:rsidRPr="00637B5E" w:rsidRDefault="000F2C7D" w:rsidP="00A037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0F2C7D" w:rsidRPr="00637B5E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2C7D" w:rsidRPr="00637B5E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F2C7D" w:rsidRPr="00637B5E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2C7D" w:rsidRPr="00637B5E" w:rsidTr="00A03764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0F2C7D" w:rsidRPr="00637B5E" w:rsidRDefault="000F2C7D" w:rsidP="00A037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0F2C7D" w:rsidRPr="00637B5E" w:rsidRDefault="000F2C7D" w:rsidP="00A037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2C7D" w:rsidRPr="00B76941" w:rsidRDefault="000F2C7D" w:rsidP="000F2C7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0F2C7D" w:rsidRDefault="000F2C7D" w:rsidP="00A23B42">
      <w:pPr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t xml:space="preserve"> </w:t>
      </w:r>
      <w:r w:rsidR="00A23B42" w:rsidRPr="003D43B8">
        <w:rPr>
          <w:rFonts w:ascii="Arial" w:hAnsi="Arial" w:cs="Arial"/>
          <w:sz w:val="20"/>
          <w:szCs w:val="20"/>
          <w:u w:val="single"/>
        </w:rPr>
        <w:t>Preenchido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0F2C7D" w:rsidRDefault="000F2C7D" w:rsidP="000F2C7D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0F2C7D" w:rsidRPr="00FD0E0D" w:rsidRDefault="000F2C7D" w:rsidP="000F2C7D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0F2C7D" w:rsidRDefault="000F2C7D" w:rsidP="000F2C7D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0F2C7D" w:rsidTr="00A03764">
        <w:tc>
          <w:tcPr>
            <w:tcW w:w="10760" w:type="dxa"/>
          </w:tcPr>
          <w:p w:rsidR="000F2C7D" w:rsidRPr="00042B0A" w:rsidRDefault="000F2C7D" w:rsidP="00A0376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F2C7D" w:rsidRPr="00042B0A" w:rsidRDefault="000F2C7D" w:rsidP="00A0376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0F2C7D" w:rsidTr="00A03764">
        <w:tc>
          <w:tcPr>
            <w:tcW w:w="10760" w:type="dxa"/>
          </w:tcPr>
          <w:p w:rsidR="000F2C7D" w:rsidRPr="00042B0A" w:rsidRDefault="000F2C7D" w:rsidP="00A0376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0F2C7D" w:rsidRPr="00042B0A" w:rsidRDefault="000F2C7D" w:rsidP="00A0376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0F2C7D" w:rsidRPr="00245A38" w:rsidRDefault="000F2C7D" w:rsidP="000F2C7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0F2C7D" w:rsidRPr="008346AF" w:rsidTr="00A03764">
        <w:tc>
          <w:tcPr>
            <w:tcW w:w="0" w:type="auto"/>
          </w:tcPr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Pr="00637B5E" w:rsidRDefault="000F2C7D" w:rsidP="00A03764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Pr="00637B5E" w:rsidRDefault="000F2C7D" w:rsidP="00A03764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Pr="00637B5E" w:rsidRDefault="000F2C7D" w:rsidP="00A03764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0F2C7D" w:rsidRPr="008346AF" w:rsidTr="00A03764">
        <w:tc>
          <w:tcPr>
            <w:tcW w:w="0" w:type="auto"/>
          </w:tcPr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0F2C7D" w:rsidTr="00A03764">
        <w:tc>
          <w:tcPr>
            <w:tcW w:w="0" w:type="auto"/>
          </w:tcPr>
          <w:p w:rsidR="000F2C7D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0F2C7D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F2C7D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F2C7D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F2C7D" w:rsidTr="00A03764">
        <w:tc>
          <w:tcPr>
            <w:tcW w:w="0" w:type="auto"/>
          </w:tcPr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Pr="00637B5E" w:rsidRDefault="000F2C7D" w:rsidP="00A037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F2C7D" w:rsidRPr="00637B5E" w:rsidRDefault="000F2C7D" w:rsidP="00A03764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0F2C7D" w:rsidRPr="00637B5E" w:rsidRDefault="000F2C7D" w:rsidP="00A03764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0F2C7D" w:rsidTr="00A03764">
        <w:tc>
          <w:tcPr>
            <w:tcW w:w="0" w:type="auto"/>
          </w:tcPr>
          <w:p w:rsidR="000F2C7D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0F2C7D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F2C7D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0F2C7D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0F2C7D" w:rsidRPr="00637B5E" w:rsidRDefault="000F2C7D" w:rsidP="00A037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F2C7D" w:rsidRDefault="000F2C7D" w:rsidP="000F2C7D">
      <w:pPr>
        <w:rPr>
          <w:rFonts w:ascii="Arial" w:hAnsi="Arial" w:cs="Arial"/>
          <w:sz w:val="20"/>
          <w:szCs w:val="20"/>
        </w:rPr>
      </w:pPr>
    </w:p>
    <w:p w:rsidR="000F2C7D" w:rsidRPr="00245A38" w:rsidRDefault="000F2C7D" w:rsidP="000F2C7D">
      <w:pPr>
        <w:rPr>
          <w:rFonts w:ascii="Arial" w:hAnsi="Arial" w:cs="Arial"/>
          <w:sz w:val="20"/>
          <w:szCs w:val="20"/>
        </w:rPr>
      </w:pPr>
    </w:p>
    <w:sectPr w:rsidR="000F2C7D" w:rsidRPr="00245A38" w:rsidSect="002E37EE">
      <w:headerReference w:type="default" r:id="rId8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1E8" w:rsidRDefault="004A31E8">
      <w:r>
        <w:separator/>
      </w:r>
    </w:p>
  </w:endnote>
  <w:endnote w:type="continuationSeparator" w:id="0">
    <w:p w:rsidR="004A31E8" w:rsidRDefault="004A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1E8" w:rsidRDefault="004A31E8">
      <w:r>
        <w:separator/>
      </w:r>
    </w:p>
  </w:footnote>
  <w:footnote w:type="continuationSeparator" w:id="0">
    <w:p w:rsidR="004A31E8" w:rsidRDefault="004A3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07D" w:rsidRPr="00BE1AE8" w:rsidRDefault="0023312F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07D">
      <w:t xml:space="preserve">                  </w:t>
    </w:r>
    <w:r w:rsidR="00EC607D" w:rsidRPr="00BE1AE8">
      <w:rPr>
        <w:rFonts w:ascii="Arial" w:hAnsi="Arial" w:cs="Arial"/>
        <w:b/>
        <w:sz w:val="22"/>
        <w:szCs w:val="22"/>
      </w:rPr>
      <w:t>PREFEITURA DE FLORIANÓPOLIS</w:t>
    </w:r>
  </w:p>
  <w:p w:rsidR="00EC607D" w:rsidRPr="00BE1AE8" w:rsidRDefault="00EC607D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EC607D" w:rsidRPr="00BE1AE8" w:rsidRDefault="00EC607D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EC607D" w:rsidRDefault="00EC607D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EC607D" w:rsidRPr="00BE1AE8" w:rsidRDefault="00EC607D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4BF20CA"/>
    <w:multiLevelType w:val="hybridMultilevel"/>
    <w:tmpl w:val="57BAC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7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8C322A8"/>
    <w:multiLevelType w:val="multilevel"/>
    <w:tmpl w:val="C8E695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6ABA2A8A"/>
    <w:multiLevelType w:val="multilevel"/>
    <w:tmpl w:val="3626D8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F14BF"/>
    <w:multiLevelType w:val="hybridMultilevel"/>
    <w:tmpl w:val="90C4432A"/>
    <w:lvl w:ilvl="0" w:tplc="C19884D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1"/>
  </w:num>
  <w:num w:numId="5">
    <w:abstractNumId w:val="4"/>
  </w:num>
  <w:num w:numId="6">
    <w:abstractNumId w:val="6"/>
  </w:num>
  <w:num w:numId="7">
    <w:abstractNumId w:val="13"/>
  </w:num>
  <w:num w:numId="8">
    <w:abstractNumId w:val="12"/>
  </w:num>
  <w:num w:numId="9">
    <w:abstractNumId w:val="5"/>
  </w:num>
  <w:num w:numId="10">
    <w:abstractNumId w:val="2"/>
  </w:num>
  <w:num w:numId="11">
    <w:abstractNumId w:val="0"/>
  </w:num>
  <w:num w:numId="12">
    <w:abstractNumId w:val="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3973"/>
    <w:rsid w:val="0001353C"/>
    <w:rsid w:val="00015844"/>
    <w:rsid w:val="00015EC4"/>
    <w:rsid w:val="000268DB"/>
    <w:rsid w:val="00030CFF"/>
    <w:rsid w:val="00035B90"/>
    <w:rsid w:val="00042B0A"/>
    <w:rsid w:val="00057F80"/>
    <w:rsid w:val="000623A7"/>
    <w:rsid w:val="00064620"/>
    <w:rsid w:val="000716AE"/>
    <w:rsid w:val="000724BD"/>
    <w:rsid w:val="00072EF3"/>
    <w:rsid w:val="000766B0"/>
    <w:rsid w:val="00085FE7"/>
    <w:rsid w:val="000A18CB"/>
    <w:rsid w:val="000A2102"/>
    <w:rsid w:val="000A740B"/>
    <w:rsid w:val="000B732E"/>
    <w:rsid w:val="000D000C"/>
    <w:rsid w:val="000D1622"/>
    <w:rsid w:val="000D1BDC"/>
    <w:rsid w:val="000D32F6"/>
    <w:rsid w:val="000D3FE6"/>
    <w:rsid w:val="000D4223"/>
    <w:rsid w:val="000D5D18"/>
    <w:rsid w:val="000E3FBC"/>
    <w:rsid w:val="000F2C7D"/>
    <w:rsid w:val="000F3B99"/>
    <w:rsid w:val="000F5AAF"/>
    <w:rsid w:val="0010219E"/>
    <w:rsid w:val="001025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56A7"/>
    <w:rsid w:val="0018300F"/>
    <w:rsid w:val="00186825"/>
    <w:rsid w:val="00186DD8"/>
    <w:rsid w:val="001904EB"/>
    <w:rsid w:val="00191FC6"/>
    <w:rsid w:val="001939C1"/>
    <w:rsid w:val="001959F3"/>
    <w:rsid w:val="001A0FEF"/>
    <w:rsid w:val="001A407F"/>
    <w:rsid w:val="001B032C"/>
    <w:rsid w:val="001B5250"/>
    <w:rsid w:val="001B6787"/>
    <w:rsid w:val="001C0C4A"/>
    <w:rsid w:val="001C17EA"/>
    <w:rsid w:val="001C23C8"/>
    <w:rsid w:val="001C6083"/>
    <w:rsid w:val="001D0B74"/>
    <w:rsid w:val="001D33C8"/>
    <w:rsid w:val="001D6043"/>
    <w:rsid w:val="001D62DE"/>
    <w:rsid w:val="001E0144"/>
    <w:rsid w:val="001E0341"/>
    <w:rsid w:val="001F2540"/>
    <w:rsid w:val="00204B17"/>
    <w:rsid w:val="002051D0"/>
    <w:rsid w:val="00212F76"/>
    <w:rsid w:val="00217FDB"/>
    <w:rsid w:val="00225333"/>
    <w:rsid w:val="0023312F"/>
    <w:rsid w:val="002357CE"/>
    <w:rsid w:val="002363D5"/>
    <w:rsid w:val="00241B2A"/>
    <w:rsid w:val="00242AF2"/>
    <w:rsid w:val="00245A38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F43B7"/>
    <w:rsid w:val="003023AF"/>
    <w:rsid w:val="00306B3E"/>
    <w:rsid w:val="00312C03"/>
    <w:rsid w:val="0031331A"/>
    <w:rsid w:val="00315B8C"/>
    <w:rsid w:val="003259E3"/>
    <w:rsid w:val="00325D59"/>
    <w:rsid w:val="003308E6"/>
    <w:rsid w:val="00332602"/>
    <w:rsid w:val="00333A85"/>
    <w:rsid w:val="00334D65"/>
    <w:rsid w:val="00344416"/>
    <w:rsid w:val="003452EA"/>
    <w:rsid w:val="0035461B"/>
    <w:rsid w:val="00375154"/>
    <w:rsid w:val="0037559C"/>
    <w:rsid w:val="00382ED3"/>
    <w:rsid w:val="00383F35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5D05"/>
    <w:rsid w:val="003D7535"/>
    <w:rsid w:val="003E63B6"/>
    <w:rsid w:val="00407F5B"/>
    <w:rsid w:val="00412C1B"/>
    <w:rsid w:val="0041343E"/>
    <w:rsid w:val="0041462F"/>
    <w:rsid w:val="00416062"/>
    <w:rsid w:val="00417920"/>
    <w:rsid w:val="00417EDD"/>
    <w:rsid w:val="00423BC4"/>
    <w:rsid w:val="00436E95"/>
    <w:rsid w:val="00437159"/>
    <w:rsid w:val="00444970"/>
    <w:rsid w:val="00452208"/>
    <w:rsid w:val="0045240D"/>
    <w:rsid w:val="004558D5"/>
    <w:rsid w:val="00461308"/>
    <w:rsid w:val="00467059"/>
    <w:rsid w:val="004705EE"/>
    <w:rsid w:val="00470911"/>
    <w:rsid w:val="004A31E8"/>
    <w:rsid w:val="004B11E6"/>
    <w:rsid w:val="004C0006"/>
    <w:rsid w:val="004C0758"/>
    <w:rsid w:val="004C4F28"/>
    <w:rsid w:val="004C501F"/>
    <w:rsid w:val="004C7E60"/>
    <w:rsid w:val="004D1634"/>
    <w:rsid w:val="004D171B"/>
    <w:rsid w:val="004D7F83"/>
    <w:rsid w:val="004E08DA"/>
    <w:rsid w:val="004E1933"/>
    <w:rsid w:val="004F13FC"/>
    <w:rsid w:val="004F3217"/>
    <w:rsid w:val="004F4338"/>
    <w:rsid w:val="00525D87"/>
    <w:rsid w:val="00531191"/>
    <w:rsid w:val="0053360D"/>
    <w:rsid w:val="00534E9E"/>
    <w:rsid w:val="005421EB"/>
    <w:rsid w:val="005428DB"/>
    <w:rsid w:val="00546346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3410"/>
    <w:rsid w:val="005E4B02"/>
    <w:rsid w:val="005E52BD"/>
    <w:rsid w:val="00601DB2"/>
    <w:rsid w:val="006072A3"/>
    <w:rsid w:val="0062556C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96E5B"/>
    <w:rsid w:val="006A42A5"/>
    <w:rsid w:val="006B23A5"/>
    <w:rsid w:val="006B68F2"/>
    <w:rsid w:val="006C16BF"/>
    <w:rsid w:val="006C2F24"/>
    <w:rsid w:val="006C3999"/>
    <w:rsid w:val="006D2178"/>
    <w:rsid w:val="006E37E4"/>
    <w:rsid w:val="006F083A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3A53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3734"/>
    <w:rsid w:val="00863A36"/>
    <w:rsid w:val="00873CEE"/>
    <w:rsid w:val="00876641"/>
    <w:rsid w:val="008775CE"/>
    <w:rsid w:val="0088732F"/>
    <w:rsid w:val="0088798A"/>
    <w:rsid w:val="008A0BDB"/>
    <w:rsid w:val="008B18C2"/>
    <w:rsid w:val="008B1F1B"/>
    <w:rsid w:val="008B5459"/>
    <w:rsid w:val="008B71A9"/>
    <w:rsid w:val="008C095E"/>
    <w:rsid w:val="008C7171"/>
    <w:rsid w:val="008D5FFF"/>
    <w:rsid w:val="008D6094"/>
    <w:rsid w:val="008E4372"/>
    <w:rsid w:val="008F1CE5"/>
    <w:rsid w:val="008F7E95"/>
    <w:rsid w:val="00900DA3"/>
    <w:rsid w:val="009011F4"/>
    <w:rsid w:val="0090180E"/>
    <w:rsid w:val="009019CE"/>
    <w:rsid w:val="00904B0A"/>
    <w:rsid w:val="0091139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39BF"/>
    <w:rsid w:val="009A40A7"/>
    <w:rsid w:val="009A7777"/>
    <w:rsid w:val="009B13B5"/>
    <w:rsid w:val="009B735B"/>
    <w:rsid w:val="009C2332"/>
    <w:rsid w:val="009D0FC9"/>
    <w:rsid w:val="009D46BF"/>
    <w:rsid w:val="009E138A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3B42"/>
    <w:rsid w:val="00A27751"/>
    <w:rsid w:val="00A31956"/>
    <w:rsid w:val="00A36F03"/>
    <w:rsid w:val="00A46EE1"/>
    <w:rsid w:val="00A5170A"/>
    <w:rsid w:val="00A71F46"/>
    <w:rsid w:val="00A777A0"/>
    <w:rsid w:val="00A80F3E"/>
    <w:rsid w:val="00A83283"/>
    <w:rsid w:val="00A84067"/>
    <w:rsid w:val="00A8730D"/>
    <w:rsid w:val="00AA430D"/>
    <w:rsid w:val="00AA520C"/>
    <w:rsid w:val="00AA534D"/>
    <w:rsid w:val="00AA7323"/>
    <w:rsid w:val="00AB3F9D"/>
    <w:rsid w:val="00AC0B11"/>
    <w:rsid w:val="00AC2CCE"/>
    <w:rsid w:val="00AC763F"/>
    <w:rsid w:val="00AD6FDC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4A5"/>
    <w:rsid w:val="00B41757"/>
    <w:rsid w:val="00B43533"/>
    <w:rsid w:val="00B439D0"/>
    <w:rsid w:val="00B4518B"/>
    <w:rsid w:val="00B52E64"/>
    <w:rsid w:val="00B53554"/>
    <w:rsid w:val="00B55B80"/>
    <w:rsid w:val="00B5699D"/>
    <w:rsid w:val="00B60877"/>
    <w:rsid w:val="00B622D2"/>
    <w:rsid w:val="00B70D87"/>
    <w:rsid w:val="00B718A5"/>
    <w:rsid w:val="00B76941"/>
    <w:rsid w:val="00B83CC4"/>
    <w:rsid w:val="00B84589"/>
    <w:rsid w:val="00B84F5A"/>
    <w:rsid w:val="00B8548E"/>
    <w:rsid w:val="00B92431"/>
    <w:rsid w:val="00B929FB"/>
    <w:rsid w:val="00B93C76"/>
    <w:rsid w:val="00BA0179"/>
    <w:rsid w:val="00BA0606"/>
    <w:rsid w:val="00BA425E"/>
    <w:rsid w:val="00BA75D0"/>
    <w:rsid w:val="00BB00A1"/>
    <w:rsid w:val="00BB0D46"/>
    <w:rsid w:val="00BB21B1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25D9A"/>
    <w:rsid w:val="00C30E00"/>
    <w:rsid w:val="00C32B05"/>
    <w:rsid w:val="00C33ABA"/>
    <w:rsid w:val="00C44F58"/>
    <w:rsid w:val="00C51466"/>
    <w:rsid w:val="00C5168D"/>
    <w:rsid w:val="00C61C89"/>
    <w:rsid w:val="00C70C69"/>
    <w:rsid w:val="00C7125E"/>
    <w:rsid w:val="00C774C5"/>
    <w:rsid w:val="00C8130D"/>
    <w:rsid w:val="00C81E8A"/>
    <w:rsid w:val="00C90C72"/>
    <w:rsid w:val="00C91196"/>
    <w:rsid w:val="00C91D8E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D01308"/>
    <w:rsid w:val="00D05A18"/>
    <w:rsid w:val="00D066A7"/>
    <w:rsid w:val="00D1394F"/>
    <w:rsid w:val="00D26280"/>
    <w:rsid w:val="00D31715"/>
    <w:rsid w:val="00D32053"/>
    <w:rsid w:val="00D369AE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304F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17A0"/>
    <w:rsid w:val="00E93ECE"/>
    <w:rsid w:val="00E95FEE"/>
    <w:rsid w:val="00E9790D"/>
    <w:rsid w:val="00EA425C"/>
    <w:rsid w:val="00EB0060"/>
    <w:rsid w:val="00EB4B36"/>
    <w:rsid w:val="00EC1730"/>
    <w:rsid w:val="00EC32E2"/>
    <w:rsid w:val="00EC406D"/>
    <w:rsid w:val="00EC5E7E"/>
    <w:rsid w:val="00EC607D"/>
    <w:rsid w:val="00ED0607"/>
    <w:rsid w:val="00EF0BAE"/>
    <w:rsid w:val="00EF265F"/>
    <w:rsid w:val="00F00E77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276B0"/>
    <w:rsid w:val="00F27983"/>
    <w:rsid w:val="00F331D6"/>
    <w:rsid w:val="00F41331"/>
    <w:rsid w:val="00F42E9E"/>
    <w:rsid w:val="00F479D5"/>
    <w:rsid w:val="00F52527"/>
    <w:rsid w:val="00F61495"/>
    <w:rsid w:val="00F679AE"/>
    <w:rsid w:val="00F70EA5"/>
    <w:rsid w:val="00F80B99"/>
    <w:rsid w:val="00F82EE4"/>
    <w:rsid w:val="00F864D9"/>
    <w:rsid w:val="00FA57A9"/>
    <w:rsid w:val="00FA67CB"/>
    <w:rsid w:val="00FC3CE4"/>
    <w:rsid w:val="00FD0E0D"/>
    <w:rsid w:val="00FD55D9"/>
    <w:rsid w:val="00FD7E65"/>
    <w:rsid w:val="00FE0F44"/>
    <w:rsid w:val="00FE3319"/>
    <w:rsid w:val="00FE584C"/>
    <w:rsid w:val="00FF24A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46661B6-9EF1-4B33-87C0-2FB847F0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91D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0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0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7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07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07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E8E20-D42A-4921-AAD7-FD741C77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3435</Words>
  <Characters>18555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21947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Karine Cunha Volpato</cp:lastModifiedBy>
  <cp:revision>23</cp:revision>
  <cp:lastPrinted>2008-11-20T17:39:00Z</cp:lastPrinted>
  <dcterms:created xsi:type="dcterms:W3CDTF">2021-10-28T13:52:00Z</dcterms:created>
  <dcterms:modified xsi:type="dcterms:W3CDTF">2021-10-28T16:47:00Z</dcterms:modified>
</cp:coreProperties>
</file>