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625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637B5E" w:rsidRDefault="00246625" w:rsidP="00637B5E">
      <w:pPr>
        <w:spacing w:after="10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637B5E">
        <w:rPr>
          <w:rFonts w:ascii="Arial" w:hAnsi="Arial" w:cs="Arial"/>
          <w:b/>
          <w:sz w:val="20"/>
          <w:szCs w:val="20"/>
          <w:u w:val="single"/>
        </w:rPr>
        <w:t>INSTRUÇÕES PARA P</w:t>
      </w:r>
      <w:r w:rsidR="00385233">
        <w:rPr>
          <w:rFonts w:ascii="Arial" w:hAnsi="Arial" w:cs="Arial"/>
          <w:b/>
          <w:sz w:val="20"/>
          <w:szCs w:val="20"/>
          <w:u w:val="single"/>
        </w:rPr>
        <w:t>REENCHIMENTO DO ROTEIRO DE AUTO</w:t>
      </w:r>
      <w:r w:rsidRPr="00637B5E">
        <w:rPr>
          <w:rFonts w:ascii="Arial" w:hAnsi="Arial" w:cs="Arial"/>
          <w:b/>
          <w:sz w:val="20"/>
          <w:szCs w:val="20"/>
          <w:u w:val="single"/>
        </w:rPr>
        <w:t>INSPEÇÃO</w:t>
      </w:r>
    </w:p>
    <w:p w:rsidR="00246625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BE1AE8">
      <w:pPr>
        <w:jc w:val="center"/>
        <w:rPr>
          <w:shd w:val="clear" w:color="auto" w:fill="FFFF66"/>
        </w:rPr>
      </w:pP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pree</w:t>
      </w:r>
      <w:r w:rsidR="00385233">
        <w:rPr>
          <w:rFonts w:ascii="Arial" w:hAnsi="Arial" w:cs="Arial"/>
          <w:sz w:val="20"/>
          <w:szCs w:val="20"/>
        </w:rPr>
        <w:t xml:space="preserve">nchimento deste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</w:t>
      </w:r>
      <w:r w:rsidRPr="00637B5E">
        <w:rPr>
          <w:rFonts w:ascii="Arial" w:hAnsi="Arial" w:cs="Arial"/>
          <w:sz w:val="20"/>
          <w:szCs w:val="20"/>
        </w:rPr>
        <w:t>inspeção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é item OBRIGATÓRIO na requisição de alvará sanitário junto à unidade do Pró-cidadão, seja para fins de concessão ou revalidação do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Deve preencher este Roteiro o responsável pelo estabelecimento e/ou trabalhador que realize atividade no local, que conheça suas rotinas e tenha ciência do que tratam os itens assinalados.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Para cada item enumerado no roteiro, poderão ser marcadas as opções “S” (Sim), “N” (Não) ou “NA” (Não se aplica à atividade desenvolvida). O item “CF” (Conformidade) NÃO deverá ser assinalado pelo requerente, podendo ser preenchido pela autoridade sanitária no momento da inspeção.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Roteiro deve ser preenchido com CANETA esferográfica preta ou azul, sendo que é obrigatório o preenchimento de TODOS os itens para que este seja válido.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DOCUMENTOS assinalados no Roteiro com a opção “SIM” devem estar disponíveis no estabelecimento para a conferência e análise da autoridade de saúde sempre que necessário.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Terminado o preenchimento do Roteiro, é obrigatória a ASSINATURA do requerente no campo “Assinatura do proprietário e/ou responsável”, que consta no final deste documento.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 requerente deve estar ciente de que as informações aqui prestadas por ele são presumidas como verdadeiras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Os estabelecimentos e seus responsáveis estarão sujeitos às penalidades previstas na Lei Complementar nº 239/2006, sem prejuízo das demais sanções previstas na Legislação Estadual e Federal vigentes, quando constatado o pr</w:t>
      </w:r>
      <w:r w:rsidR="00385233">
        <w:rPr>
          <w:rFonts w:ascii="Arial" w:hAnsi="Arial" w:cs="Arial"/>
          <w:sz w:val="20"/>
          <w:szCs w:val="20"/>
        </w:rPr>
        <w:t xml:space="preserve">eenchimento do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com informações NÃO condizentes com a realidade verificada pela autoridade de saúde nas inspeções sanitárias presenciais efetuadas (artigo 6º, Decreto Municipal 13025 de 29 de abril de 2014).</w:t>
      </w:r>
    </w:p>
    <w:p w:rsidR="00246625" w:rsidRPr="00637B5E" w:rsidRDefault="00246625" w:rsidP="00637B5E">
      <w:pPr>
        <w:numPr>
          <w:ilvl w:val="0"/>
          <w:numId w:val="12"/>
        </w:numPr>
        <w:spacing w:after="100" w:line="360" w:lineRule="auto"/>
        <w:ind w:left="714" w:hanging="357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A constatação de infração sanitária pela autoridade de saúde, apontada falsamente como "em co</w:t>
      </w:r>
      <w:r w:rsidR="00385233">
        <w:rPr>
          <w:rFonts w:ascii="Arial" w:hAnsi="Arial" w:cs="Arial"/>
          <w:sz w:val="20"/>
          <w:szCs w:val="20"/>
        </w:rPr>
        <w:t xml:space="preserve">nformidade" no Roteiro de </w:t>
      </w:r>
      <w:proofErr w:type="spellStart"/>
      <w:r w:rsidR="00385233">
        <w:rPr>
          <w:rFonts w:ascii="Arial" w:hAnsi="Arial" w:cs="Arial"/>
          <w:sz w:val="20"/>
          <w:szCs w:val="20"/>
        </w:rPr>
        <w:t>Autoi</w:t>
      </w:r>
      <w:r w:rsidRPr="00637B5E">
        <w:rPr>
          <w:rFonts w:ascii="Arial" w:hAnsi="Arial" w:cs="Arial"/>
          <w:sz w:val="20"/>
          <w:szCs w:val="20"/>
        </w:rPr>
        <w:t>nspeção</w:t>
      </w:r>
      <w:proofErr w:type="spellEnd"/>
      <w:r w:rsidRPr="00637B5E">
        <w:rPr>
          <w:rFonts w:ascii="Arial" w:hAnsi="Arial" w:cs="Arial"/>
          <w:sz w:val="20"/>
          <w:szCs w:val="20"/>
        </w:rPr>
        <w:t xml:space="preserve"> apresentado no processo, caracteriza a circunstância agravante constante no art. 128, VI, da Lei Complementar nº 239/2006, salvo prova em contrário (Parágrafo Único do artigo 6º, Decreto Municipal 13025 de 29 de abril de 2014).</w:t>
      </w:r>
    </w:p>
    <w:p w:rsidR="00246625" w:rsidRPr="00245A38" w:rsidRDefault="00246625">
      <w:pPr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Pr="00520049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46620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ROTEIRO DE AUTO-INSPEÇÃO PARA </w:t>
      </w:r>
      <w:r w:rsidR="00F03ABD" w:rsidRPr="00F03ABD">
        <w:rPr>
          <w:rFonts w:ascii="Arial" w:hAnsi="Arial" w:cs="Arial"/>
          <w:b/>
          <w:sz w:val="20"/>
          <w:szCs w:val="20"/>
          <w:u w:val="single"/>
        </w:rPr>
        <w:t>COMÉRCIO ATACADISTA DE CARNES BOVINAS, SUÍNAS E DERIVADOS</w:t>
      </w:r>
    </w:p>
    <w:p w:rsidR="00246625" w:rsidRPr="00FE2A67" w:rsidRDefault="00246625" w:rsidP="002E692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FE2A67">
        <w:rPr>
          <w:rFonts w:ascii="Arial" w:hAnsi="Arial" w:cs="Arial"/>
          <w:b/>
          <w:sz w:val="20"/>
          <w:szCs w:val="20"/>
        </w:rPr>
        <w:t>COD</w:t>
      </w:r>
      <w:r>
        <w:rPr>
          <w:rFonts w:ascii="Arial" w:hAnsi="Arial" w:cs="Arial"/>
          <w:b/>
          <w:sz w:val="20"/>
          <w:szCs w:val="20"/>
        </w:rPr>
        <w:t>.: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</w:t>
      </w:r>
      <w:r w:rsidR="00F03ABD" w:rsidRPr="00F03ABD">
        <w:rPr>
          <w:rFonts w:ascii="Arial" w:hAnsi="Arial" w:cs="Arial"/>
          <w:b/>
          <w:sz w:val="20"/>
          <w:szCs w:val="20"/>
        </w:rPr>
        <w:t>4634-6/01.</w:t>
      </w:r>
      <w:bookmarkStart w:id="0" w:name="_GoBack"/>
      <w:bookmarkEnd w:id="0"/>
    </w:p>
    <w:p w:rsidR="00246625" w:rsidRPr="00245A38" w:rsidRDefault="00246625">
      <w:pPr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246625" w:rsidRPr="00BB0D46" w:rsidRDefault="00246625">
      <w:pPr>
        <w:rPr>
          <w:rFonts w:ascii="Arial" w:hAnsi="Arial" w:cs="Arial"/>
          <w:b/>
          <w:sz w:val="20"/>
          <w:szCs w:val="20"/>
        </w:rPr>
      </w:pPr>
      <w:r w:rsidRPr="00BB0D46">
        <w:rPr>
          <w:rFonts w:ascii="Arial" w:hAnsi="Arial" w:cs="Arial"/>
          <w:b/>
          <w:sz w:val="20"/>
          <w:szCs w:val="20"/>
        </w:rPr>
        <w:t>Processo/Ano N° ______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/_</w:t>
      </w:r>
      <w:r>
        <w:rPr>
          <w:rFonts w:ascii="Arial" w:hAnsi="Arial" w:cs="Arial"/>
          <w:b/>
          <w:sz w:val="20"/>
          <w:szCs w:val="20"/>
        </w:rPr>
        <w:t>__</w:t>
      </w:r>
      <w:r w:rsidRPr="00BB0D46">
        <w:rPr>
          <w:rFonts w:ascii="Arial" w:hAnsi="Arial" w:cs="Arial"/>
          <w:b/>
          <w:sz w:val="20"/>
          <w:szCs w:val="20"/>
        </w:rPr>
        <w:t>_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48"/>
        <w:gridCol w:w="1800"/>
        <w:gridCol w:w="1872"/>
      </w:tblGrid>
      <w:tr w:rsidR="00246625" w:rsidRPr="00245A38" w:rsidTr="00BB0D46">
        <w:trPr>
          <w:trHeight w:val="697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Estabelecimento:</w:t>
            </w:r>
          </w:p>
        </w:tc>
      </w:tr>
      <w:tr w:rsidR="00246625" w:rsidRPr="00245A38" w:rsidTr="00BB0D46">
        <w:trPr>
          <w:trHeight w:val="701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Proprietário/Responsável Técnico:</w:t>
            </w:r>
          </w:p>
        </w:tc>
      </w:tr>
      <w:tr w:rsidR="00246625" w:rsidRPr="00245A38" w:rsidTr="00BB0D46">
        <w:trPr>
          <w:trHeight w:val="708"/>
        </w:trPr>
        <w:tc>
          <w:tcPr>
            <w:tcW w:w="10620" w:type="dxa"/>
            <w:gridSpan w:val="3"/>
            <w:vAlign w:val="center"/>
          </w:tcPr>
          <w:p w:rsidR="00246625" w:rsidRPr="00BB0D46" w:rsidRDefault="00246625" w:rsidP="003D43B8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CNPJ/CPF:</w:t>
            </w:r>
          </w:p>
        </w:tc>
      </w:tr>
      <w:tr w:rsidR="00246625" w:rsidRPr="00245A38" w:rsidTr="00BB0D46">
        <w:trPr>
          <w:trHeight w:val="708"/>
        </w:trPr>
        <w:tc>
          <w:tcPr>
            <w:tcW w:w="6948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 xml:space="preserve">Nº. Total de Trabalhadores no estabelecimento: </w:t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</w:r>
            <w:r w:rsidRPr="00BB0D46">
              <w:rPr>
                <w:rFonts w:ascii="Arial" w:hAnsi="Arial" w:cs="Arial"/>
                <w:sz w:val="20"/>
                <w:szCs w:val="20"/>
              </w:rPr>
              <w:softHyphen/>
              <w:t xml:space="preserve">                                                          </w:t>
            </w:r>
          </w:p>
        </w:tc>
        <w:tc>
          <w:tcPr>
            <w:tcW w:w="1800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Homens:</w:t>
            </w:r>
          </w:p>
        </w:tc>
        <w:tc>
          <w:tcPr>
            <w:tcW w:w="1872" w:type="dxa"/>
            <w:vAlign w:val="center"/>
          </w:tcPr>
          <w:p w:rsidR="00246625" w:rsidRPr="00BB0D46" w:rsidRDefault="00246625" w:rsidP="00BB0D46">
            <w:pPr>
              <w:rPr>
                <w:rFonts w:ascii="Arial" w:hAnsi="Arial" w:cs="Arial"/>
                <w:sz w:val="20"/>
                <w:szCs w:val="20"/>
              </w:rPr>
            </w:pPr>
            <w:r w:rsidRPr="00BB0D46">
              <w:rPr>
                <w:rFonts w:ascii="Arial" w:hAnsi="Arial" w:cs="Arial"/>
                <w:sz w:val="20"/>
                <w:szCs w:val="20"/>
              </w:rPr>
              <w:t>Número de Mulheres:</w:t>
            </w: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Pr="003D43B8" w:rsidRDefault="00246625">
      <w:pPr>
        <w:rPr>
          <w:rFonts w:ascii="Arial" w:hAnsi="Arial" w:cs="Arial"/>
          <w:b/>
          <w:sz w:val="20"/>
          <w:szCs w:val="20"/>
        </w:rPr>
      </w:pPr>
      <w:r w:rsidRPr="003D43B8">
        <w:rPr>
          <w:rFonts w:ascii="Arial" w:hAnsi="Arial" w:cs="Arial"/>
          <w:b/>
          <w:sz w:val="20"/>
          <w:szCs w:val="20"/>
        </w:rPr>
        <w:t>Legenda: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 – Sim;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 – Não;</w:t>
      </w:r>
    </w:p>
    <w:p w:rsidR="00246625" w:rsidRDefault="00246625" w:rsidP="003D43B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– Não se aplica à atividade desenvolvida;</w:t>
      </w:r>
    </w:p>
    <w:p w:rsidR="00246625" w:rsidRPr="003D43B8" w:rsidRDefault="00246625" w:rsidP="003D43B8">
      <w:pPr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CF – Conformidade (</w:t>
      </w:r>
      <w:r w:rsidRPr="00637B5E">
        <w:rPr>
          <w:rFonts w:ascii="Arial" w:hAnsi="Arial" w:cs="Arial"/>
          <w:sz w:val="20"/>
          <w:szCs w:val="20"/>
          <w:u w:val="single"/>
        </w:rPr>
        <w:t>a ser preenchido pelo fiscal no momento da inspeção)</w:t>
      </w:r>
      <w:r w:rsidRPr="00637B5E">
        <w:rPr>
          <w:rFonts w:ascii="Arial" w:hAnsi="Arial" w:cs="Arial"/>
          <w:sz w:val="20"/>
          <w:szCs w:val="20"/>
        </w:rPr>
        <w:t>.</w:t>
      </w:r>
    </w:p>
    <w:p w:rsidR="00246625" w:rsidRDefault="00246625">
      <w:pPr>
        <w:rPr>
          <w:rFonts w:ascii="Arial" w:hAnsi="Arial" w:cs="Arial"/>
          <w:sz w:val="20"/>
          <w:szCs w:val="20"/>
        </w:rPr>
      </w:pPr>
    </w:p>
    <w:tbl>
      <w:tblPr>
        <w:tblW w:w="115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5"/>
        <w:gridCol w:w="540"/>
        <w:gridCol w:w="540"/>
        <w:gridCol w:w="540"/>
        <w:gridCol w:w="568"/>
        <w:gridCol w:w="3547"/>
      </w:tblGrid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numPr>
                <w:ilvl w:val="0"/>
                <w:numId w:val="9"/>
              </w:num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ITENS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CF*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Área externa livre de sujeiras, objetos em desuso ou estranhos a atividade, animais, insetos ou roedores.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e 96 VIII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1..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2) </w:t>
            </w:r>
            <w:r w:rsidRPr="006A177F">
              <w:rPr>
                <w:rFonts w:ascii="Arial" w:hAnsi="Arial" w:cs="Arial"/>
                <w:sz w:val="20"/>
                <w:szCs w:val="20"/>
              </w:rPr>
              <w:t>Ambiente utilizado apenas para a atividade licenciada, proibido demais usos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ex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>: moradia)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96 X 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46620E">
              <w:rPr>
                <w:rFonts w:ascii="Arial" w:hAnsi="Arial" w:cs="Arial"/>
                <w:sz w:val="20"/>
                <w:szCs w:val="20"/>
                <w:lang w:eastAsia="pt-BR"/>
              </w:rPr>
              <w:t>1.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Ambiente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em boas condições de organização e limpeza, livre de objetos em desuso.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96 VIII e 97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197CE5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Pisos, teto e paredes íntegros, sem infiltrações e constituídos de material liso, lavável e impermeável.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97CE5">
              <w:rPr>
                <w:rFonts w:ascii="Arial" w:hAnsi="Arial" w:cs="Arial"/>
                <w:sz w:val="20"/>
                <w:szCs w:val="20"/>
              </w:rPr>
              <w:t>Art. 94 § 1</w:t>
            </w:r>
            <w:proofErr w:type="gramStart"/>
            <w:r w:rsidRPr="00197CE5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197CE5">
              <w:rPr>
                <w:rFonts w:ascii="Arial" w:hAnsi="Arial" w:cs="Arial"/>
                <w:sz w:val="20"/>
                <w:szCs w:val="20"/>
              </w:rPr>
              <w:t>o) do Dec. Est. 31.455/87</w:t>
            </w:r>
          </w:p>
        </w:tc>
      </w:tr>
      <w:tr w:rsidR="00246625" w:rsidRPr="00526D82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Ventilação adequada à conservação dos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End"/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Iluminação adequada para realização das atividades.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 1º (j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do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Aberturas possuem telas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milimetradas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Ralos sifonados com tampa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escamoteável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(m/n)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1.8) I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nstalações sanitárias providas de lavatórios com papel toalha não reciclado, sabonete líquido e lixeira com tampa e acionamento sem contato manual. Sem comunicação direta com os locais onde se encontrem os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94 §1º (d)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1.9)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Lavatório exclusivo para higiene das mãos dos funcionários provido de papel toalha não reciclado, sabonete líquido e lixeira com tampa e acionamento sem contato manual.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94 §1</w:t>
            </w:r>
            <w:proofErr w:type="gramStart"/>
            <w:r w:rsidRPr="006A177F">
              <w:rPr>
                <w:rFonts w:ascii="Arial" w:hAnsi="Arial" w:cs="Arial"/>
                <w:sz w:val="20"/>
                <w:szCs w:val="20"/>
              </w:rPr>
              <w:t>º(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e/f)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1.10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15 cm"/>
              </w:smartTagPr>
              <w:r w:rsidRPr="006A177F">
                <w:rPr>
                  <w:rFonts w:ascii="Arial" w:hAnsi="Arial" w:cs="Arial"/>
                  <w:sz w:val="20"/>
                  <w:szCs w:val="20"/>
                  <w:lang w:eastAsia="pt-BR"/>
                </w:rPr>
                <w:t>15 cm</w:t>
              </w:r>
            </w:smartTag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) ou prateleiras na área de vendas.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sz w:val="20"/>
                <w:szCs w:val="20"/>
                <w:lang w:val="en-US"/>
              </w:rPr>
              <w:t>Art. 92 § 2º do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1.11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</w:rPr>
              <w:t>Estrados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</w:rPr>
              <w:t xml:space="preserve"> (altura </w:t>
            </w:r>
            <w:smartTag w:uri="urn:schemas-microsoft-com:office:smarttags" w:element="metricconverter">
              <w:smartTagPr>
                <w:attr w:name="ProductID" w:val="3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30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) ou prateleiras no depósito e alimentos afastados das paredes e teto cerca de </w:t>
            </w:r>
            <w:smartTag w:uri="urn:schemas-microsoft-com:office:smarttags" w:element="metricconverter">
              <w:smartTagPr>
                <w:attr w:name="ProductID" w:val="10 cm"/>
              </w:smartTagPr>
              <w:r w:rsidRPr="006A177F">
                <w:rPr>
                  <w:rFonts w:ascii="Arial" w:hAnsi="Arial" w:cs="Arial"/>
                  <w:sz w:val="20"/>
                  <w:szCs w:val="20"/>
                </w:rPr>
                <w:t>10 cm</w:t>
              </w:r>
            </w:smartTag>
            <w:r w:rsidRPr="006A177F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92 § 1º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1.12)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Lixeiras com tampa e acionamento sem contato manual para o armazenamento de lixo.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103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1.13)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Mobiliários e equipamentos em bom estado de conservação, livres de pontos de ferrugem, poeira ou outras sujidades.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Art. 86 </w:t>
            </w:r>
            <w:r>
              <w:rPr>
                <w:rFonts w:ascii="Arial" w:hAnsi="Arial" w:cs="Arial"/>
                <w:sz w:val="20"/>
                <w:szCs w:val="20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Refrigeradores/congeladores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/câmaras frias/estufas em bom estado de conservação e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com controle diá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rio de temperatura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9A04FC">
              <w:rPr>
                <w:rFonts w:ascii="Arial" w:hAnsi="Arial" w:cs="Arial"/>
                <w:sz w:val="20"/>
                <w:szCs w:val="20"/>
              </w:rPr>
              <w:t xml:space="preserve">Art. 86 (g), 94 §1º (k) e 95 do Dec. Est. </w:t>
            </w:r>
            <w:r w:rsidRPr="006A177F">
              <w:rPr>
                <w:rFonts w:ascii="Arial" w:hAnsi="Arial" w:cs="Arial"/>
                <w:sz w:val="20"/>
                <w:szCs w:val="20"/>
              </w:rPr>
              <w:t>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1.15) </w:t>
            </w:r>
            <w:r w:rsidRPr="006A177F">
              <w:rPr>
                <w:rFonts w:ascii="Arial" w:hAnsi="Arial" w:cs="Arial"/>
                <w:sz w:val="20"/>
                <w:szCs w:val="20"/>
              </w:rPr>
              <w:t>Equipamentos com proteção contra acidentes.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10 (Portaria MTE 3.214/78).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1.16) 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Instalações elétricas embutidas ou protegidas.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A177F">
              <w:rPr>
                <w:rFonts w:ascii="Arial" w:hAnsi="Arial" w:cs="Arial"/>
                <w:sz w:val="20"/>
                <w:szCs w:val="20"/>
              </w:rPr>
              <w:t>Arts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</w:rPr>
              <w:t xml:space="preserve"> 19 e 48 da LCM 239/06, NR 12 (Portaria MTE 3.214/78).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encontram-se em embalagens integras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,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protegidos de contaminações e dentro do prazo de validade.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14 e 96 IV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Alimentos possuem rotulagem de acordo com a legislação (identificação do produto, fabricante / importador, ingredientes, lote/validade, instruções de preparo /uso, tabela nutricional, contem ou não glúten e registro quando necessário).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 xml:space="preserve">RDC nº 27/10, RE ANVISA nº 23/00, </w:t>
            </w:r>
            <w:r>
              <w:rPr>
                <w:rFonts w:ascii="Arial" w:hAnsi="Arial" w:cs="Arial"/>
                <w:sz w:val="20"/>
                <w:szCs w:val="20"/>
              </w:rPr>
              <w:t xml:space="preserve">RDC nº 259/02, </w:t>
            </w:r>
            <w:r w:rsidRPr="006A177F">
              <w:rPr>
                <w:rFonts w:ascii="Arial" w:hAnsi="Arial" w:cs="Arial"/>
                <w:sz w:val="20"/>
                <w:szCs w:val="20"/>
              </w:rPr>
              <w:t>RDC nº 360/03, LF10.674/03.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1.19)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provêm de estabelecimentos licenciados pelo órgão comp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etente</w:t>
            </w:r>
            <w:r w:rsidRPr="00CF7D75">
              <w:rPr>
                <w:rFonts w:ascii="Arial" w:hAnsi="Arial" w:cs="Arial"/>
                <w:sz w:val="20"/>
                <w:szCs w:val="20"/>
                <w:lang w:eastAsia="pt-BR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(procedência comprovada)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5º III, 9º II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31.455/87.</w:t>
            </w:r>
          </w:p>
        </w:tc>
      </w:tr>
      <w:tr w:rsidR="00246625" w:rsidRPr="00FE2A67" w:rsidTr="006C515F">
        <w:trPr>
          <w:jc w:val="center"/>
        </w:trPr>
        <w:tc>
          <w:tcPr>
            <w:tcW w:w="5815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1.20) </w:t>
            </w:r>
            <w:r w:rsidRPr="009B1463">
              <w:rPr>
                <w:rFonts w:ascii="Arial" w:hAnsi="Arial" w:cs="Arial"/>
                <w:sz w:val="20"/>
                <w:szCs w:val="20"/>
              </w:rPr>
              <w:t>Saneantes, produtos de perfumaria, limpeza e congêneres identificados, com registro no MS e armazenados em local separado dos alimentos.</w:t>
            </w: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9B1463" w:rsidRDefault="00246625" w:rsidP="006C515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9B1463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14 § 3º e 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96 parágrafo único </w:t>
            </w:r>
            <w:r>
              <w:rPr>
                <w:rFonts w:ascii="Arial" w:hAnsi="Arial" w:cs="Arial"/>
                <w:sz w:val="20"/>
                <w:szCs w:val="20"/>
              </w:rPr>
              <w:t>Dec. Est.</w:t>
            </w:r>
            <w:r w:rsidRPr="009B1463">
              <w:rPr>
                <w:rFonts w:ascii="Arial" w:hAnsi="Arial" w:cs="Arial"/>
                <w:sz w:val="20"/>
                <w:szCs w:val="20"/>
              </w:rPr>
              <w:t xml:space="preserve"> 31455/87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Alimentos mantidos sob a temperatura indicada pelo fabricante</w:t>
            </w:r>
            <w:r>
              <w:rPr>
                <w:rFonts w:ascii="Arial" w:hAnsi="Arial" w:cs="Arial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Item 6.6.2 RDC 259/02, Art. 18 da LF 8078/90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1.22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identificado para depósito de alimentos danificados, vencidos, alterados e para troca (afastados dos demais)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5º do Dec. Est.31.455/87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1.23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guarda dos produtos/utensílios utilizados na limpeza. Saneantes registrados no MS.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197CE5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highlight w:val="yellow"/>
                <w:lang w:val="en-US"/>
              </w:rPr>
            </w:pPr>
            <w:r w:rsidRPr="00197CE5">
              <w:rPr>
                <w:rFonts w:ascii="Arial" w:hAnsi="Arial" w:cs="Arial"/>
                <w:sz w:val="20"/>
                <w:szCs w:val="20"/>
                <w:lang w:val="en-US"/>
              </w:rPr>
              <w:t>Art. 14 §3º do Dec. Est.31.455/87.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>1.24</w:t>
            </w:r>
            <w:proofErr w:type="gramStart"/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Local</w:t>
            </w:r>
            <w:proofErr w:type="gram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para higienização de equipamentos e utensílios.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(c)do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 Dec. Est. 31.455/87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Armário fechado com chave para guarda dos pertences dos funcionários.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 xml:space="preserve">Art. 94 §1º (d) 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do </w:t>
            </w: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1.26)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Funcionários utilizam uniforme com a identificação da empresa e se apresentam rigorosamente asseados.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82 § 1º(a) e 83</w:t>
            </w:r>
            <w:r>
              <w:rPr>
                <w:rFonts w:ascii="Arial" w:hAnsi="Arial" w:cs="Arial"/>
                <w:sz w:val="20"/>
                <w:szCs w:val="20"/>
              </w:rPr>
              <w:t xml:space="preserve"> do</w:t>
            </w:r>
            <w:r w:rsidRPr="006A177F">
              <w:rPr>
                <w:rFonts w:ascii="Arial" w:hAnsi="Arial" w:cs="Arial"/>
                <w:sz w:val="20"/>
                <w:szCs w:val="20"/>
              </w:rPr>
              <w:t xml:space="preserve">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Proibida a entrada de pessoas estranhas ao serviço nas áreas de depósito e manipulação de alimentos.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Art. 85 do </w:t>
            </w:r>
            <w:r w:rsidRPr="006A177F">
              <w:rPr>
                <w:rFonts w:ascii="Arial" w:hAnsi="Arial" w:cs="Arial"/>
                <w:sz w:val="20"/>
                <w:szCs w:val="20"/>
              </w:rPr>
              <w:t>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1.28)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Conectado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rede pública de abastecimento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074074">
              <w:rPr>
                <w:rFonts w:ascii="Arial" w:hAnsi="Arial" w:cs="Arial"/>
                <w:bCs/>
                <w:sz w:val="20"/>
                <w:szCs w:val="20"/>
              </w:rPr>
              <w:t>Art. 33 e 34 da LCM 239/06</w:t>
            </w:r>
            <w:r>
              <w:rPr>
                <w:rFonts w:ascii="Arial" w:hAnsi="Arial" w:cs="Arial"/>
                <w:bCs/>
                <w:sz w:val="20"/>
                <w:szCs w:val="20"/>
              </w:rPr>
              <w:t>, art. 12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1.29)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Na utilização de outras fontes (poço/ponteira com tratamento e licenciada), comprovação da potabilidade da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4A3700">
              <w:rPr>
                <w:rFonts w:ascii="Arial" w:hAnsi="Arial" w:cs="Arial"/>
                <w:bCs/>
                <w:sz w:val="20"/>
                <w:szCs w:val="20"/>
              </w:rPr>
              <w:t>Art. 33 e 34 da LCM 239/06,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art. 28 da LE 6.320/83</w:t>
            </w:r>
          </w:p>
        </w:tc>
      </w:tr>
      <w:tr w:rsidR="00246625" w:rsidRPr="00385233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1.30)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Possui reservatório de água.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86000A" w:rsidRDefault="00246625" w:rsidP="006C515F">
            <w:pPr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86000A">
              <w:rPr>
                <w:rFonts w:ascii="Arial" w:hAnsi="Arial" w:cs="Arial"/>
                <w:bCs/>
                <w:sz w:val="20"/>
                <w:szCs w:val="20"/>
                <w:lang w:val="en-US"/>
              </w:rPr>
              <w:t>Art. 219 da LCM 60/00, art. 12 §4º da LE 6.320/83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1.31</w:t>
            </w:r>
            <w:proofErr w:type="gramStart"/>
            <w:r>
              <w:rPr>
                <w:rFonts w:ascii="Arial" w:hAnsi="Arial" w:cs="Arial"/>
                <w:bCs/>
                <w:sz w:val="20"/>
                <w:szCs w:val="20"/>
              </w:rPr>
              <w:t xml:space="preserve">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Conectado</w:t>
            </w:r>
            <w:proofErr w:type="gram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6A177F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rede pública de coleta de esgoto.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1.32)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Utilização de fossa/sumidouro/filtro ou outro sistema aprovado pela Visa na inexistência da rede pública.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24, 25, 37 e 38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1.33) 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>Localização e manutenção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adequada da</w:t>
            </w:r>
            <w:r w:rsidRPr="006A177F">
              <w:rPr>
                <w:rFonts w:ascii="Arial" w:hAnsi="Arial" w:cs="Arial"/>
                <w:bCs/>
                <w:sz w:val="20"/>
                <w:szCs w:val="20"/>
              </w:rPr>
              <w:t xml:space="preserve"> caixa de gordura.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6A177F">
              <w:rPr>
                <w:rFonts w:ascii="Arial" w:hAnsi="Arial" w:cs="Arial"/>
                <w:bCs/>
                <w:sz w:val="20"/>
                <w:szCs w:val="20"/>
              </w:rPr>
              <w:t>Art. 25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  <w:vAlign w:val="center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1.34) </w:t>
            </w:r>
            <w:r w:rsidRPr="006A177F">
              <w:rPr>
                <w:rFonts w:ascii="Arial" w:hAnsi="Arial" w:cs="Arial"/>
                <w:sz w:val="20"/>
                <w:szCs w:val="20"/>
              </w:rPr>
              <w:t>Local para acondicionamento do lixo junto ao alinhamento frontal, não obstruindo o passeio público.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1º da LCM 113/03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1.35)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Contentores com tampa e rodas diferenciados por cores de acordo com o tipo de lixo e em número suficiente para apresentação do lixo à coleta pública.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Lei Complementar Municipal 113/03, art. 103 do Dec. Est. 31.455/87.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2) DOCUMENTOS NECESSÁRIOS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S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</w:t>
            </w:r>
          </w:p>
        </w:tc>
        <w:tc>
          <w:tcPr>
            <w:tcW w:w="540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NA</w:t>
            </w: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CF</w:t>
            </w:r>
          </w:p>
        </w:tc>
        <w:tc>
          <w:tcPr>
            <w:tcW w:w="3547" w:type="dxa"/>
            <w:vAlign w:val="center"/>
          </w:tcPr>
          <w:p w:rsidR="00246625" w:rsidRPr="006A177F" w:rsidRDefault="00246625" w:rsidP="006C515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A177F">
              <w:rPr>
                <w:rFonts w:ascii="Arial" w:hAnsi="Arial" w:cs="Arial"/>
                <w:b/>
                <w:sz w:val="20"/>
                <w:szCs w:val="20"/>
              </w:rPr>
              <w:t>ENQUADRAMENTO LEGAL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2.1)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Atestado de saúde para manipulação de alimentos de todos os funcionários / proprietário / gerente que entre em contato com o alimento mesmo que embalado. 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79 do Dec. Est. 31.455/87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2.2) </w:t>
            </w:r>
            <w:r w:rsidRPr="006A177F">
              <w:rPr>
                <w:rFonts w:ascii="Arial" w:hAnsi="Arial" w:cs="Arial"/>
                <w:sz w:val="20"/>
                <w:szCs w:val="20"/>
              </w:rPr>
              <w:t>Alvará/Licença dos fornecedores expedida pelo órgão competente.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A177F">
              <w:rPr>
                <w:rFonts w:ascii="Arial" w:hAnsi="Arial" w:cs="Arial"/>
                <w:sz w:val="20"/>
                <w:szCs w:val="20"/>
              </w:rPr>
              <w:t>Art. 58 da LCM 239/06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2.3) </w:t>
            </w:r>
            <w:r>
              <w:rPr>
                <w:rFonts w:ascii="Arial" w:hAnsi="Arial" w:cs="Arial"/>
                <w:sz w:val="20"/>
                <w:szCs w:val="20"/>
              </w:rPr>
              <w:t>Certificado de participação em Treinamento de Boas Práticas de Manipulação de Alimentos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. 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8"/>
                <w:szCs w:val="18"/>
              </w:rPr>
              <w:t>Lei Municipal 5.980/2002 c/c Dec. Municipal 14781/2015 c/c Portaria SMS 02/2016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t xml:space="preserve">2.4)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Certificado do serviço de </w:t>
            </w:r>
            <w:proofErr w:type="spellStart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desinsetização</w:t>
            </w:r>
            <w:proofErr w:type="spellEnd"/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 xml:space="preserve"> e desratização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A177F">
              <w:rPr>
                <w:rFonts w:ascii="Arial" w:hAnsi="Arial" w:cs="Arial"/>
                <w:sz w:val="20"/>
                <w:szCs w:val="20"/>
                <w:lang w:val="en-US"/>
              </w:rPr>
              <w:t>Art. 97 § 6º, RDC ANVISA 52/09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2.5) Sistema de climatização com manutenção e limpeza</w:t>
            </w:r>
          </w:p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 xml:space="preserve">PMOC, quando acima de 60.000 </w:t>
            </w:r>
            <w:proofErr w:type="spellStart"/>
            <w:r w:rsidRPr="00FB445F">
              <w:rPr>
                <w:rFonts w:ascii="Arial" w:hAnsi="Arial" w:cs="Arial"/>
                <w:sz w:val="20"/>
                <w:szCs w:val="20"/>
              </w:rPr>
              <w:t>BTUs</w:t>
            </w:r>
            <w:proofErr w:type="spellEnd"/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FB445F" w:rsidRDefault="00246625" w:rsidP="006C515F">
            <w:pPr>
              <w:rPr>
                <w:rFonts w:ascii="Arial" w:hAnsi="Arial" w:cs="Arial"/>
                <w:sz w:val="20"/>
                <w:szCs w:val="20"/>
              </w:rPr>
            </w:pPr>
            <w:r w:rsidRPr="00FB445F">
              <w:rPr>
                <w:rFonts w:ascii="Arial" w:hAnsi="Arial" w:cs="Arial"/>
                <w:sz w:val="20"/>
                <w:szCs w:val="20"/>
              </w:rPr>
              <w:t>Portaria GM.3523/98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2.6) </w:t>
            </w:r>
            <w:r w:rsidRPr="006A177F">
              <w:rPr>
                <w:rFonts w:ascii="Arial" w:hAnsi="Arial" w:cs="Arial"/>
                <w:sz w:val="20"/>
                <w:szCs w:val="20"/>
              </w:rPr>
              <w:t>Registro de limpeza da caixa de água semestral realizado por empresa que possua Alvará Sanitário.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 xml:space="preserve">Art. 18 XI parágrafo único do Dec. Est. </w:t>
            </w:r>
            <w:r w:rsidRPr="004A3700">
              <w:rPr>
                <w:rFonts w:ascii="Arial" w:hAnsi="Arial" w:cs="Arial"/>
                <w:bCs/>
                <w:sz w:val="20"/>
                <w:szCs w:val="20"/>
              </w:rPr>
              <w:t xml:space="preserve">24.981/85, LM 4.783/95, c/c LM 6.583/05. </w:t>
            </w:r>
          </w:p>
        </w:tc>
      </w:tr>
      <w:tr w:rsidR="00246625" w:rsidRPr="006A177F" w:rsidTr="006C515F">
        <w:trPr>
          <w:jc w:val="center"/>
        </w:trPr>
        <w:tc>
          <w:tcPr>
            <w:tcW w:w="5815" w:type="dxa"/>
          </w:tcPr>
          <w:p w:rsidR="00246625" w:rsidRPr="006A177F" w:rsidRDefault="00246625" w:rsidP="006C515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lastRenderedPageBreak/>
              <w:t xml:space="preserve">2.7) </w:t>
            </w:r>
            <w:r w:rsidRPr="006A177F">
              <w:rPr>
                <w:rFonts w:ascii="Arial" w:hAnsi="Arial" w:cs="Arial"/>
                <w:sz w:val="20"/>
                <w:szCs w:val="20"/>
                <w:lang w:eastAsia="pt-BR"/>
              </w:rPr>
              <w:t>Atividades desenvolvidas conferem com a DAM</w:t>
            </w: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0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" w:type="dxa"/>
          </w:tcPr>
          <w:p w:rsidR="00246625" w:rsidRPr="006A177F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7" w:type="dxa"/>
          </w:tcPr>
          <w:p w:rsidR="00246625" w:rsidRPr="004A3700" w:rsidRDefault="00246625" w:rsidP="006C515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4A3700">
              <w:rPr>
                <w:rFonts w:ascii="Arial" w:hAnsi="Arial" w:cs="Arial"/>
                <w:sz w:val="20"/>
                <w:szCs w:val="20"/>
              </w:rPr>
              <w:t>Dec. Mun. 4591/06</w:t>
            </w:r>
          </w:p>
        </w:tc>
      </w:tr>
    </w:tbl>
    <w:p w:rsidR="00246625" w:rsidRDefault="00246625">
      <w:pPr>
        <w:rPr>
          <w:rFonts w:ascii="Arial" w:hAnsi="Arial" w:cs="Arial"/>
          <w:b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b/>
          <w:sz w:val="20"/>
          <w:szCs w:val="20"/>
        </w:rPr>
      </w:pPr>
      <w:r w:rsidRPr="00245A38">
        <w:rPr>
          <w:rFonts w:ascii="Arial" w:hAnsi="Arial" w:cs="Arial"/>
          <w:b/>
          <w:sz w:val="20"/>
          <w:szCs w:val="20"/>
        </w:rPr>
        <w:t>OBS:</w:t>
      </w:r>
    </w:p>
    <w:p w:rsidR="00246625" w:rsidRPr="00245A38" w:rsidRDefault="00246625" w:rsidP="009011F4">
      <w:pPr>
        <w:numPr>
          <w:ilvl w:val="0"/>
          <w:numId w:val="2"/>
        </w:numPr>
        <w:tabs>
          <w:tab w:val="clear" w:pos="720"/>
          <w:tab w:val="num" w:pos="180"/>
        </w:tabs>
        <w:ind w:left="180" w:hanging="18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 xml:space="preserve">– Autoridade de Saúde, no exercício de suas atribuições, poderá exigir além dos itens relacionados </w:t>
      </w:r>
      <w:proofErr w:type="spellStart"/>
      <w:r w:rsidRPr="00245A38">
        <w:rPr>
          <w:rFonts w:ascii="Arial" w:hAnsi="Arial" w:cs="Arial"/>
          <w:sz w:val="20"/>
          <w:szCs w:val="20"/>
        </w:rPr>
        <w:t>neste</w:t>
      </w:r>
      <w:proofErr w:type="spellEnd"/>
      <w:r w:rsidRPr="00245A38">
        <w:rPr>
          <w:rFonts w:ascii="Arial" w:hAnsi="Arial" w:cs="Arial"/>
          <w:sz w:val="20"/>
          <w:szCs w:val="20"/>
        </w:rPr>
        <w:t xml:space="preserve"> roteiro, outros que se fizerem necessários para garantia da Saúde Pública, bem como que constam em normas aplicáveis ao caso;</w:t>
      </w:r>
    </w:p>
    <w:p w:rsidR="00246625" w:rsidRPr="00245A38" w:rsidRDefault="00246625" w:rsidP="00B92431">
      <w:pPr>
        <w:numPr>
          <w:ilvl w:val="0"/>
          <w:numId w:val="2"/>
        </w:numPr>
        <w:tabs>
          <w:tab w:val="clear" w:pos="720"/>
          <w:tab w:val="num" w:pos="180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245A38">
        <w:rPr>
          <w:rFonts w:ascii="Arial" w:hAnsi="Arial" w:cs="Arial"/>
          <w:sz w:val="20"/>
          <w:szCs w:val="20"/>
        </w:rPr>
        <w:t>– Este roteiro poderá ser revisto, sempre que necessário, de acordo com as determinações da Autoridade de Saúde.</w:t>
      </w: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  <w:r w:rsidRPr="009011F4">
        <w:rPr>
          <w:rFonts w:ascii="Arial" w:hAnsi="Arial" w:cs="Arial"/>
          <w:b/>
          <w:sz w:val="20"/>
          <w:szCs w:val="20"/>
        </w:rPr>
        <w:t>Data do preenchimento do Roteiro de Auto Inspeção: _____/______/________.</w:t>
      </w:r>
    </w:p>
    <w:p w:rsidR="00246625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  <w:r w:rsidRPr="00637B5E">
        <w:rPr>
          <w:rFonts w:ascii="Arial" w:hAnsi="Arial" w:cs="Arial"/>
          <w:sz w:val="20"/>
          <w:szCs w:val="20"/>
        </w:rPr>
        <w:t>Declaro estar ciente de que as informações aqui prestadas são expressão da verdade e que o preenchimento deste roteiro com informações falsas constitui infração sanitária, estando sujeito às sanções cabíveis.</w:t>
      </w:r>
    </w:p>
    <w:p w:rsidR="00246625" w:rsidRPr="00637B5E" w:rsidRDefault="00246625" w:rsidP="00637B5E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560"/>
        <w:gridCol w:w="5559"/>
      </w:tblGrid>
      <w:tr w:rsidR="00246625" w:rsidRPr="00637B5E" w:rsidTr="00DA414B"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Nome completo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CPF do proprietário e/ou responsável: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c>
          <w:tcPr>
            <w:tcW w:w="5560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637B5E">
              <w:rPr>
                <w:rFonts w:ascii="Arial" w:hAnsi="Arial" w:cs="Arial"/>
                <w:b/>
                <w:sz w:val="20"/>
                <w:szCs w:val="20"/>
              </w:rPr>
              <w:t>Email</w:t>
            </w:r>
            <w:proofErr w:type="spellEnd"/>
            <w:r w:rsidRPr="00637B5E">
              <w:rPr>
                <w:rFonts w:ascii="Arial" w:hAnsi="Arial" w:cs="Arial"/>
                <w:b/>
                <w:sz w:val="20"/>
                <w:szCs w:val="20"/>
              </w:rPr>
              <w:t xml:space="preserve"> e Telefone:</w:t>
            </w:r>
          </w:p>
        </w:tc>
        <w:tc>
          <w:tcPr>
            <w:tcW w:w="5559" w:type="dxa"/>
            <w:tcBorders>
              <w:top w:val="single" w:sz="4" w:space="0" w:color="000000"/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6625" w:rsidRPr="00637B5E" w:rsidTr="00DA414B">
        <w:trPr>
          <w:trHeight w:val="730"/>
        </w:trPr>
        <w:tc>
          <w:tcPr>
            <w:tcW w:w="5560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Assinatura do proprietário e/ou responsável:</w:t>
            </w:r>
          </w:p>
        </w:tc>
        <w:tc>
          <w:tcPr>
            <w:tcW w:w="5559" w:type="dxa"/>
            <w:tcBorders>
              <w:bottom w:val="single" w:sz="4" w:space="0" w:color="000000"/>
            </w:tcBorders>
            <w:vAlign w:val="bottom"/>
          </w:tcPr>
          <w:p w:rsidR="00246625" w:rsidRPr="00637B5E" w:rsidRDefault="00246625" w:rsidP="00637B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46625" w:rsidRPr="00B76941" w:rsidRDefault="00246625" w:rsidP="00B76941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u w:val="single"/>
        </w:rPr>
      </w:pPr>
    </w:p>
    <w:p w:rsidR="00246625" w:rsidRPr="00B76941" w:rsidRDefault="00246625" w:rsidP="009011F4">
      <w:pPr>
        <w:jc w:val="center"/>
        <w:rPr>
          <w:rFonts w:ascii="Arial" w:hAnsi="Arial" w:cs="Arial"/>
          <w:b/>
          <w:sz w:val="20"/>
          <w:szCs w:val="20"/>
        </w:rPr>
      </w:pPr>
    </w:p>
    <w:p w:rsidR="00246625" w:rsidRDefault="00246625" w:rsidP="00D87BD1">
      <w:pPr>
        <w:rPr>
          <w:rFonts w:ascii="Arial" w:hAnsi="Arial" w:cs="Arial"/>
          <w:sz w:val="20"/>
          <w:szCs w:val="20"/>
          <w:u w:val="single"/>
        </w:rPr>
      </w:pPr>
    </w:p>
    <w:p w:rsidR="00246625" w:rsidRDefault="00246625">
      <w:pPr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br w:type="page"/>
      </w:r>
    </w:p>
    <w:p w:rsidR="00246625" w:rsidRDefault="00246625" w:rsidP="00FD7E65">
      <w:pPr>
        <w:jc w:val="center"/>
        <w:rPr>
          <w:rFonts w:ascii="Arial" w:hAnsi="Arial" w:cs="Arial"/>
          <w:sz w:val="20"/>
          <w:szCs w:val="20"/>
          <w:u w:val="single"/>
        </w:rPr>
      </w:pPr>
      <w:r w:rsidRPr="003D43B8">
        <w:rPr>
          <w:rFonts w:ascii="Arial" w:hAnsi="Arial" w:cs="Arial"/>
          <w:sz w:val="20"/>
          <w:szCs w:val="20"/>
          <w:u w:val="single"/>
        </w:rPr>
        <w:lastRenderedPageBreak/>
        <w:t>A ser preenchido pelo fiscal no momento da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 xml:space="preserve"> vistoria</w:t>
      </w:r>
      <w:r>
        <w:rPr>
          <w:rFonts w:ascii="Arial" w:hAnsi="Arial" w:cs="Arial"/>
          <w:sz w:val="20"/>
          <w:szCs w:val="20"/>
          <w:u w:val="single"/>
        </w:rPr>
        <w:t>(s)</w:t>
      </w:r>
      <w:r w:rsidRPr="003D43B8">
        <w:rPr>
          <w:rFonts w:ascii="Arial" w:hAnsi="Arial" w:cs="Arial"/>
          <w:sz w:val="20"/>
          <w:szCs w:val="20"/>
          <w:u w:val="single"/>
        </w:rPr>
        <w:t>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p w:rsidR="00246625" w:rsidRPr="00FD0E0D" w:rsidRDefault="00246625" w:rsidP="003D43B8">
      <w:pPr>
        <w:jc w:val="center"/>
        <w:rPr>
          <w:rFonts w:ascii="Arial" w:hAnsi="Arial" w:cs="Arial"/>
          <w:b/>
          <w:sz w:val="20"/>
          <w:szCs w:val="20"/>
        </w:rPr>
      </w:pPr>
      <w:r w:rsidRPr="00FD0E0D">
        <w:rPr>
          <w:rFonts w:ascii="Arial" w:hAnsi="Arial" w:cs="Arial"/>
          <w:b/>
          <w:sz w:val="20"/>
          <w:szCs w:val="20"/>
        </w:rPr>
        <w:t>Observações:</w:t>
      </w:r>
    </w:p>
    <w:p w:rsidR="00246625" w:rsidRDefault="00246625" w:rsidP="003D43B8">
      <w:pPr>
        <w:jc w:val="center"/>
        <w:rPr>
          <w:rFonts w:ascii="Arial" w:hAnsi="Arial" w:cs="Arial"/>
          <w:sz w:val="20"/>
          <w:szCs w:val="20"/>
          <w:u w:val="single"/>
        </w:rPr>
      </w:pP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60"/>
      </w:tblGrid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246625" w:rsidTr="00042B0A">
        <w:tc>
          <w:tcPr>
            <w:tcW w:w="10760" w:type="dxa"/>
          </w:tcPr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  <w:p w:rsidR="00246625" w:rsidRPr="00042B0A" w:rsidRDefault="00246625" w:rsidP="00FD0E0D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56"/>
        <w:gridCol w:w="3657"/>
        <w:gridCol w:w="3657"/>
      </w:tblGrid>
      <w:tr w:rsidR="00246625" w:rsidRPr="008346AF" w:rsidTr="008F1CE5">
        <w:tc>
          <w:tcPr>
            <w:tcW w:w="0" w:type="auto"/>
          </w:tcPr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AB3F9D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Data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______/______/______</w:t>
            </w:r>
          </w:p>
        </w:tc>
      </w:tr>
      <w:tr w:rsidR="00246625" w:rsidRPr="008346AF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Responsável pelo estabelecimento no momento da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Assinatura do r</w:t>
            </w:r>
            <w:r w:rsidRPr="00637B5E">
              <w:rPr>
                <w:rFonts w:ascii="Arial" w:hAnsi="Arial" w:cs="Arial"/>
                <w:b/>
                <w:sz w:val="20"/>
                <w:szCs w:val="20"/>
              </w:rPr>
              <w:t>esponsável pelo estabelecimento no momento da vistoria: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46625" w:rsidTr="008F1CE5">
        <w:tc>
          <w:tcPr>
            <w:tcW w:w="0" w:type="auto"/>
          </w:tcPr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  <w:tc>
          <w:tcPr>
            <w:tcW w:w="0" w:type="auto"/>
          </w:tcPr>
          <w:p w:rsidR="00246625" w:rsidRPr="00637B5E" w:rsidRDefault="00246625" w:rsidP="0062565C">
            <w:pPr>
              <w:rPr>
                <w:rFonts w:ascii="Arial" w:hAnsi="Arial" w:cs="Arial"/>
                <w:sz w:val="20"/>
                <w:szCs w:val="20"/>
              </w:rPr>
            </w:pPr>
            <w:r w:rsidRPr="00637B5E">
              <w:rPr>
                <w:rFonts w:ascii="Arial" w:hAnsi="Arial" w:cs="Arial"/>
                <w:b/>
                <w:sz w:val="20"/>
                <w:szCs w:val="20"/>
              </w:rPr>
              <w:t>Fiscais responsáveis pela vistoria:</w:t>
            </w:r>
          </w:p>
        </w:tc>
      </w:tr>
      <w:tr w:rsidR="00246625" w:rsidTr="008F1CE5">
        <w:tc>
          <w:tcPr>
            <w:tcW w:w="0" w:type="auto"/>
          </w:tcPr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46625" w:rsidRPr="00637B5E" w:rsidRDefault="00246625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246625" w:rsidRDefault="00246625" w:rsidP="00133700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Parecer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da fiscalização:</w:t>
            </w:r>
          </w:p>
          <w:p w:rsidR="00246625" w:rsidRPr="00637B5E" w:rsidRDefault="00246625" w:rsidP="0062565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246625" w:rsidRDefault="00246625">
      <w:pPr>
        <w:rPr>
          <w:rFonts w:ascii="Arial" w:hAnsi="Arial" w:cs="Arial"/>
          <w:sz w:val="20"/>
          <w:szCs w:val="20"/>
        </w:rPr>
      </w:pPr>
    </w:p>
    <w:p w:rsidR="00246625" w:rsidRPr="00245A38" w:rsidRDefault="00246625">
      <w:pPr>
        <w:rPr>
          <w:rFonts w:ascii="Arial" w:hAnsi="Arial" w:cs="Arial"/>
          <w:sz w:val="20"/>
          <w:szCs w:val="20"/>
        </w:rPr>
      </w:pPr>
    </w:p>
    <w:sectPr w:rsidR="00246625" w:rsidRPr="00245A38" w:rsidSect="002E37EE">
      <w:headerReference w:type="default" r:id="rId7"/>
      <w:pgSz w:w="11906" w:h="16838"/>
      <w:pgMar w:top="1079" w:right="386" w:bottom="1079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5DF6" w:rsidRDefault="00C25DF6">
      <w:r>
        <w:separator/>
      </w:r>
    </w:p>
  </w:endnote>
  <w:endnote w:type="continuationSeparator" w:id="0">
    <w:p w:rsidR="00C25DF6" w:rsidRDefault="00C25D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5DF6" w:rsidRDefault="00C25DF6">
      <w:r>
        <w:separator/>
      </w:r>
    </w:p>
  </w:footnote>
  <w:footnote w:type="continuationSeparator" w:id="0">
    <w:p w:rsidR="00C25DF6" w:rsidRDefault="00C25D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625" w:rsidRPr="00BE1AE8" w:rsidRDefault="00385233">
    <w:pPr>
      <w:pStyle w:val="Cabealho"/>
      <w:rPr>
        <w:rFonts w:ascii="Arial" w:hAnsi="Arial" w:cs="Arial"/>
        <w:b/>
        <w:sz w:val="22"/>
        <w:szCs w:val="22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align>left</wp:align>
          </wp:positionH>
          <wp:positionV relativeFrom="paragraph">
            <wp:posOffset>6985</wp:posOffset>
          </wp:positionV>
          <wp:extent cx="581025" cy="723900"/>
          <wp:effectExtent l="0" t="0" r="9525" b="0"/>
          <wp:wrapSquare wrapText="bothSides"/>
          <wp:docPr id="1" name="Imagem 2" descr="Logo Prefeitura só fig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Logo Prefeitura só figu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46625">
      <w:t xml:space="preserve">                  </w:t>
    </w:r>
    <w:r w:rsidR="00246625" w:rsidRPr="00BE1AE8">
      <w:rPr>
        <w:rFonts w:ascii="Arial" w:hAnsi="Arial" w:cs="Arial"/>
        <w:b/>
        <w:sz w:val="22"/>
        <w:szCs w:val="22"/>
      </w:rPr>
      <w:t>PREFEITURA DE FLORIANÓPOLIS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SECRETARIA MUNICIPAL DE SAÚDE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DIRETORIA DE VIGILÂNCIA EM SAÚDE</w:t>
    </w:r>
  </w:p>
  <w:p w:rsidR="00246625" w:rsidRDefault="00246625">
    <w:pPr>
      <w:pStyle w:val="Cabealho"/>
      <w:rPr>
        <w:rFonts w:ascii="Arial" w:hAnsi="Arial" w:cs="Arial"/>
        <w:b/>
        <w:sz w:val="22"/>
        <w:szCs w:val="22"/>
      </w:rPr>
    </w:pPr>
    <w:r w:rsidRPr="00BE1AE8">
      <w:rPr>
        <w:rFonts w:ascii="Arial" w:hAnsi="Arial" w:cs="Arial"/>
        <w:b/>
        <w:sz w:val="22"/>
        <w:szCs w:val="22"/>
      </w:rPr>
      <w:t xml:space="preserve">                  GERÊNCIA DE VIGILÂNCIA SANITÁRIA E AMBIENTAL</w:t>
    </w:r>
  </w:p>
  <w:p w:rsidR="00246625" w:rsidRPr="00BE1AE8" w:rsidRDefault="00246625">
    <w:pPr>
      <w:pStyle w:val="Cabealho"/>
      <w:rPr>
        <w:rFonts w:ascii="Arial" w:hAnsi="Arial" w:cs="Arial"/>
        <w:b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73D2E71"/>
    <w:multiLevelType w:val="hybridMultilevel"/>
    <w:tmpl w:val="888C02A8"/>
    <w:lvl w:ilvl="0" w:tplc="8ED29996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ADA2232"/>
    <w:multiLevelType w:val="hybridMultilevel"/>
    <w:tmpl w:val="1DD03D8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964312"/>
    <w:multiLevelType w:val="hybridMultilevel"/>
    <w:tmpl w:val="157694AA"/>
    <w:lvl w:ilvl="0" w:tplc="D07CB414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B5C7995"/>
    <w:multiLevelType w:val="hybridMultilevel"/>
    <w:tmpl w:val="F286966A"/>
    <w:lvl w:ilvl="0" w:tplc="0416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CD43EE3"/>
    <w:multiLevelType w:val="multilevel"/>
    <w:tmpl w:val="80B4DA72"/>
    <w:lvl w:ilvl="0">
      <w:start w:val="1"/>
      <w:numFmt w:val="decimal"/>
      <w:lvlText w:val="%1."/>
      <w:lvlJc w:val="left"/>
      <w:pPr>
        <w:ind w:left="360" w:hanging="360"/>
      </w:pPr>
      <w:rPr>
        <w:rFonts w:eastAsia="SimSun" w:cs="Times New Roman"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eastAsia="SimSun"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eastAsia="SimSun"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eastAsia="SimSun"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eastAsia="SimSun"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eastAsia="SimSun"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eastAsia="SimSun"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eastAsia="SimSun"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eastAsia="SimSun" w:cs="Times New Roman" w:hint="default"/>
      </w:rPr>
    </w:lvl>
  </w:abstractNum>
  <w:abstractNum w:abstractNumId="6" w15:restartNumberingAfterBreak="0">
    <w:nsid w:val="44C80280"/>
    <w:multiLevelType w:val="hybridMultilevel"/>
    <w:tmpl w:val="C3089334"/>
    <w:lvl w:ilvl="0" w:tplc="A326544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76A6664"/>
    <w:multiLevelType w:val="hybridMultilevel"/>
    <w:tmpl w:val="A7DAEA3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4DCA151B"/>
    <w:multiLevelType w:val="hybridMultilevel"/>
    <w:tmpl w:val="4F50FE2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4637FDD"/>
    <w:multiLevelType w:val="hybridMultilevel"/>
    <w:tmpl w:val="3E8AC468"/>
    <w:lvl w:ilvl="0" w:tplc="E402CA38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8D73B7B"/>
    <w:multiLevelType w:val="multilevel"/>
    <w:tmpl w:val="2B2CB0F4"/>
    <w:lvl w:ilvl="0">
      <w:start w:val="8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1" w15:restartNumberingAfterBreak="0">
    <w:nsid w:val="69967FC5"/>
    <w:multiLevelType w:val="multilevel"/>
    <w:tmpl w:val="F608461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-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2" w15:restartNumberingAfterBreak="0">
    <w:nsid w:val="6DFC19A7"/>
    <w:multiLevelType w:val="hybridMultilevel"/>
    <w:tmpl w:val="9ECEEFF4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11"/>
  </w:num>
  <w:num w:numId="8">
    <w:abstractNumId w:val="10"/>
  </w:num>
  <w:num w:numId="9">
    <w:abstractNumId w:val="4"/>
  </w:num>
  <w:num w:numId="10">
    <w:abstractNumId w:val="1"/>
  </w:num>
  <w:num w:numId="11">
    <w:abstractNumId w:val="0"/>
  </w:num>
  <w:num w:numId="12">
    <w:abstractNumId w:val="2"/>
  </w:num>
  <w:num w:numId="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547"/>
    <w:rsid w:val="00001073"/>
    <w:rsid w:val="00003973"/>
    <w:rsid w:val="00015844"/>
    <w:rsid w:val="00030CFF"/>
    <w:rsid w:val="00042B0A"/>
    <w:rsid w:val="00057F80"/>
    <w:rsid w:val="000623A7"/>
    <w:rsid w:val="00064620"/>
    <w:rsid w:val="000716AE"/>
    <w:rsid w:val="000724BD"/>
    <w:rsid w:val="00072EF3"/>
    <w:rsid w:val="000738FC"/>
    <w:rsid w:val="00074074"/>
    <w:rsid w:val="000766B0"/>
    <w:rsid w:val="00085FE7"/>
    <w:rsid w:val="000A18CB"/>
    <w:rsid w:val="000A2102"/>
    <w:rsid w:val="000A740B"/>
    <w:rsid w:val="000D000C"/>
    <w:rsid w:val="000D1622"/>
    <w:rsid w:val="000D1BDC"/>
    <w:rsid w:val="000D32F6"/>
    <w:rsid w:val="000D3FE6"/>
    <w:rsid w:val="000D4223"/>
    <w:rsid w:val="000E3FBC"/>
    <w:rsid w:val="000F5AAF"/>
    <w:rsid w:val="0010219E"/>
    <w:rsid w:val="00106F63"/>
    <w:rsid w:val="00116392"/>
    <w:rsid w:val="00121615"/>
    <w:rsid w:val="00124687"/>
    <w:rsid w:val="001259F0"/>
    <w:rsid w:val="0012760E"/>
    <w:rsid w:val="00131826"/>
    <w:rsid w:val="00133700"/>
    <w:rsid w:val="0014385A"/>
    <w:rsid w:val="001569B8"/>
    <w:rsid w:val="001641AC"/>
    <w:rsid w:val="00164A79"/>
    <w:rsid w:val="00172AE1"/>
    <w:rsid w:val="001756A7"/>
    <w:rsid w:val="0018300F"/>
    <w:rsid w:val="00186825"/>
    <w:rsid w:val="00186DD8"/>
    <w:rsid w:val="001904EB"/>
    <w:rsid w:val="00191FC6"/>
    <w:rsid w:val="001939C1"/>
    <w:rsid w:val="001959F3"/>
    <w:rsid w:val="00197CE5"/>
    <w:rsid w:val="001A0FEF"/>
    <w:rsid w:val="001A407F"/>
    <w:rsid w:val="001B032C"/>
    <w:rsid w:val="001B5250"/>
    <w:rsid w:val="001B6787"/>
    <w:rsid w:val="001C0C4A"/>
    <w:rsid w:val="001C17EA"/>
    <w:rsid w:val="001C6083"/>
    <w:rsid w:val="001D0B74"/>
    <w:rsid w:val="001D33C8"/>
    <w:rsid w:val="001D62DE"/>
    <w:rsid w:val="001E0144"/>
    <w:rsid w:val="001E0341"/>
    <w:rsid w:val="001F2540"/>
    <w:rsid w:val="00204B17"/>
    <w:rsid w:val="002051D0"/>
    <w:rsid w:val="00217FDB"/>
    <w:rsid w:val="00225333"/>
    <w:rsid w:val="002357CE"/>
    <w:rsid w:val="00241B2A"/>
    <w:rsid w:val="00242AF2"/>
    <w:rsid w:val="00245A38"/>
    <w:rsid w:val="00246625"/>
    <w:rsid w:val="00247C67"/>
    <w:rsid w:val="0025795D"/>
    <w:rsid w:val="00262298"/>
    <w:rsid w:val="00270FC2"/>
    <w:rsid w:val="00271BEF"/>
    <w:rsid w:val="00274B0B"/>
    <w:rsid w:val="00280030"/>
    <w:rsid w:val="00280D13"/>
    <w:rsid w:val="002819B7"/>
    <w:rsid w:val="002832D6"/>
    <w:rsid w:val="002A35BE"/>
    <w:rsid w:val="002A76C4"/>
    <w:rsid w:val="002B0D71"/>
    <w:rsid w:val="002C2516"/>
    <w:rsid w:val="002C68BE"/>
    <w:rsid w:val="002C77E9"/>
    <w:rsid w:val="002D3B1F"/>
    <w:rsid w:val="002D7F31"/>
    <w:rsid w:val="002E05DA"/>
    <w:rsid w:val="002E37EE"/>
    <w:rsid w:val="002E6925"/>
    <w:rsid w:val="002F43B7"/>
    <w:rsid w:val="00306B3E"/>
    <w:rsid w:val="00312C03"/>
    <w:rsid w:val="00315B8C"/>
    <w:rsid w:val="003259E3"/>
    <w:rsid w:val="003308E6"/>
    <w:rsid w:val="00332602"/>
    <w:rsid w:val="00333A85"/>
    <w:rsid w:val="00334D65"/>
    <w:rsid w:val="00344416"/>
    <w:rsid w:val="003452EA"/>
    <w:rsid w:val="0035461B"/>
    <w:rsid w:val="0037559C"/>
    <w:rsid w:val="00382ED3"/>
    <w:rsid w:val="00383F35"/>
    <w:rsid w:val="00385233"/>
    <w:rsid w:val="00385284"/>
    <w:rsid w:val="003A36CC"/>
    <w:rsid w:val="003A664F"/>
    <w:rsid w:val="003B207B"/>
    <w:rsid w:val="003B2C36"/>
    <w:rsid w:val="003B4014"/>
    <w:rsid w:val="003C0412"/>
    <w:rsid w:val="003C0E77"/>
    <w:rsid w:val="003C105F"/>
    <w:rsid w:val="003C22D6"/>
    <w:rsid w:val="003D0457"/>
    <w:rsid w:val="003D05FE"/>
    <w:rsid w:val="003D43B8"/>
    <w:rsid w:val="003D7535"/>
    <w:rsid w:val="003E63B6"/>
    <w:rsid w:val="00412C1B"/>
    <w:rsid w:val="0041343E"/>
    <w:rsid w:val="0041462F"/>
    <w:rsid w:val="00416062"/>
    <w:rsid w:val="00417920"/>
    <w:rsid w:val="00423BC4"/>
    <w:rsid w:val="00437159"/>
    <w:rsid w:val="00444970"/>
    <w:rsid w:val="00452208"/>
    <w:rsid w:val="0045240D"/>
    <w:rsid w:val="004558D5"/>
    <w:rsid w:val="00461308"/>
    <w:rsid w:val="0046620E"/>
    <w:rsid w:val="004705EE"/>
    <w:rsid w:val="00470911"/>
    <w:rsid w:val="004A3700"/>
    <w:rsid w:val="004B11E6"/>
    <w:rsid w:val="004C0006"/>
    <w:rsid w:val="004C0758"/>
    <w:rsid w:val="004C501F"/>
    <w:rsid w:val="004C7E60"/>
    <w:rsid w:val="004D7F83"/>
    <w:rsid w:val="004E08DA"/>
    <w:rsid w:val="004E1933"/>
    <w:rsid w:val="004F13FC"/>
    <w:rsid w:val="004F3217"/>
    <w:rsid w:val="004F4338"/>
    <w:rsid w:val="00520049"/>
    <w:rsid w:val="00525D87"/>
    <w:rsid w:val="00526D82"/>
    <w:rsid w:val="0053360D"/>
    <w:rsid w:val="00534E9E"/>
    <w:rsid w:val="005421EB"/>
    <w:rsid w:val="005428DB"/>
    <w:rsid w:val="0055143E"/>
    <w:rsid w:val="00555FC8"/>
    <w:rsid w:val="00562547"/>
    <w:rsid w:val="00565A6C"/>
    <w:rsid w:val="00566304"/>
    <w:rsid w:val="00583FB9"/>
    <w:rsid w:val="00593EED"/>
    <w:rsid w:val="0059717C"/>
    <w:rsid w:val="005A756D"/>
    <w:rsid w:val="005B405D"/>
    <w:rsid w:val="005B4780"/>
    <w:rsid w:val="005B6074"/>
    <w:rsid w:val="005C28B3"/>
    <w:rsid w:val="005C5032"/>
    <w:rsid w:val="005D40F9"/>
    <w:rsid w:val="005E1539"/>
    <w:rsid w:val="005E4B02"/>
    <w:rsid w:val="005E52BD"/>
    <w:rsid w:val="00601DB2"/>
    <w:rsid w:val="006072A3"/>
    <w:rsid w:val="0062565C"/>
    <w:rsid w:val="00635875"/>
    <w:rsid w:val="006368F1"/>
    <w:rsid w:val="00637B5E"/>
    <w:rsid w:val="00646A13"/>
    <w:rsid w:val="00646C6C"/>
    <w:rsid w:val="00654081"/>
    <w:rsid w:val="006551D3"/>
    <w:rsid w:val="00657611"/>
    <w:rsid w:val="00663B20"/>
    <w:rsid w:val="00664F5C"/>
    <w:rsid w:val="0066737B"/>
    <w:rsid w:val="0067674C"/>
    <w:rsid w:val="00682EA7"/>
    <w:rsid w:val="006A177F"/>
    <w:rsid w:val="006A42A5"/>
    <w:rsid w:val="006B23A5"/>
    <w:rsid w:val="006C16BF"/>
    <w:rsid w:val="006C2F24"/>
    <w:rsid w:val="006C3999"/>
    <w:rsid w:val="006C515F"/>
    <w:rsid w:val="006D2178"/>
    <w:rsid w:val="006E37E4"/>
    <w:rsid w:val="006F13C0"/>
    <w:rsid w:val="006F6DF7"/>
    <w:rsid w:val="006F7B25"/>
    <w:rsid w:val="00721723"/>
    <w:rsid w:val="00721B26"/>
    <w:rsid w:val="007266AD"/>
    <w:rsid w:val="00730E82"/>
    <w:rsid w:val="007314F3"/>
    <w:rsid w:val="00731FE1"/>
    <w:rsid w:val="00734861"/>
    <w:rsid w:val="007405E7"/>
    <w:rsid w:val="0074345F"/>
    <w:rsid w:val="0075304C"/>
    <w:rsid w:val="00753EF3"/>
    <w:rsid w:val="0076310F"/>
    <w:rsid w:val="007712D4"/>
    <w:rsid w:val="007803A3"/>
    <w:rsid w:val="00782B8A"/>
    <w:rsid w:val="00783973"/>
    <w:rsid w:val="00784D48"/>
    <w:rsid w:val="007927F8"/>
    <w:rsid w:val="007A0EBF"/>
    <w:rsid w:val="007A53E6"/>
    <w:rsid w:val="007B2B8F"/>
    <w:rsid w:val="007C58A1"/>
    <w:rsid w:val="007D494A"/>
    <w:rsid w:val="007E2695"/>
    <w:rsid w:val="007F2A59"/>
    <w:rsid w:val="007F341D"/>
    <w:rsid w:val="007F35BE"/>
    <w:rsid w:val="008079D0"/>
    <w:rsid w:val="008171AB"/>
    <w:rsid w:val="008346AF"/>
    <w:rsid w:val="0083608A"/>
    <w:rsid w:val="00836FFF"/>
    <w:rsid w:val="0086000A"/>
    <w:rsid w:val="00863734"/>
    <w:rsid w:val="00863A36"/>
    <w:rsid w:val="00876641"/>
    <w:rsid w:val="008775CE"/>
    <w:rsid w:val="0088732F"/>
    <w:rsid w:val="0088798A"/>
    <w:rsid w:val="008B18C2"/>
    <w:rsid w:val="008B1F1B"/>
    <w:rsid w:val="008B5459"/>
    <w:rsid w:val="008B71A9"/>
    <w:rsid w:val="008C095E"/>
    <w:rsid w:val="008C7171"/>
    <w:rsid w:val="008D5FFF"/>
    <w:rsid w:val="008D6094"/>
    <w:rsid w:val="008F1CE5"/>
    <w:rsid w:val="008F7E95"/>
    <w:rsid w:val="00900DA3"/>
    <w:rsid w:val="009011F4"/>
    <w:rsid w:val="0090180E"/>
    <w:rsid w:val="00904B0A"/>
    <w:rsid w:val="00911689"/>
    <w:rsid w:val="00911882"/>
    <w:rsid w:val="0091238B"/>
    <w:rsid w:val="00921599"/>
    <w:rsid w:val="009273CE"/>
    <w:rsid w:val="00927C74"/>
    <w:rsid w:val="00934F32"/>
    <w:rsid w:val="00940CEC"/>
    <w:rsid w:val="00942A26"/>
    <w:rsid w:val="0095040B"/>
    <w:rsid w:val="00950A9D"/>
    <w:rsid w:val="00953A45"/>
    <w:rsid w:val="00955F5B"/>
    <w:rsid w:val="00960F70"/>
    <w:rsid w:val="009678E3"/>
    <w:rsid w:val="00967CD7"/>
    <w:rsid w:val="00967DA8"/>
    <w:rsid w:val="0097028B"/>
    <w:rsid w:val="009828AB"/>
    <w:rsid w:val="00984E98"/>
    <w:rsid w:val="00993C6D"/>
    <w:rsid w:val="00993F25"/>
    <w:rsid w:val="009A04FC"/>
    <w:rsid w:val="009A39BF"/>
    <w:rsid w:val="009A40A7"/>
    <w:rsid w:val="009A7777"/>
    <w:rsid w:val="009B13B5"/>
    <w:rsid w:val="009B1463"/>
    <w:rsid w:val="009B735B"/>
    <w:rsid w:val="009C2332"/>
    <w:rsid w:val="009D0FC9"/>
    <w:rsid w:val="009D46BF"/>
    <w:rsid w:val="009E2039"/>
    <w:rsid w:val="009E4808"/>
    <w:rsid w:val="009F5BD6"/>
    <w:rsid w:val="009F6D5A"/>
    <w:rsid w:val="00A00596"/>
    <w:rsid w:val="00A00C0E"/>
    <w:rsid w:val="00A013D6"/>
    <w:rsid w:val="00A0299F"/>
    <w:rsid w:val="00A062A2"/>
    <w:rsid w:val="00A154E8"/>
    <w:rsid w:val="00A16F25"/>
    <w:rsid w:val="00A27751"/>
    <w:rsid w:val="00A31956"/>
    <w:rsid w:val="00A36F03"/>
    <w:rsid w:val="00A5170A"/>
    <w:rsid w:val="00A71F46"/>
    <w:rsid w:val="00A72542"/>
    <w:rsid w:val="00A777A0"/>
    <w:rsid w:val="00A80F3E"/>
    <w:rsid w:val="00A83283"/>
    <w:rsid w:val="00A84067"/>
    <w:rsid w:val="00A8730D"/>
    <w:rsid w:val="00AA430D"/>
    <w:rsid w:val="00AA520C"/>
    <w:rsid w:val="00AA7323"/>
    <w:rsid w:val="00AB3F9D"/>
    <w:rsid w:val="00AC0B11"/>
    <w:rsid w:val="00AC2CCE"/>
    <w:rsid w:val="00AC763F"/>
    <w:rsid w:val="00AE5126"/>
    <w:rsid w:val="00AF051C"/>
    <w:rsid w:val="00AF2D12"/>
    <w:rsid w:val="00AF639E"/>
    <w:rsid w:val="00B127ED"/>
    <w:rsid w:val="00B12AF6"/>
    <w:rsid w:val="00B332E9"/>
    <w:rsid w:val="00B34043"/>
    <w:rsid w:val="00B343BA"/>
    <w:rsid w:val="00B40E52"/>
    <w:rsid w:val="00B41757"/>
    <w:rsid w:val="00B43533"/>
    <w:rsid w:val="00B4518B"/>
    <w:rsid w:val="00B52E64"/>
    <w:rsid w:val="00B53554"/>
    <w:rsid w:val="00B55B80"/>
    <w:rsid w:val="00B5699D"/>
    <w:rsid w:val="00B60877"/>
    <w:rsid w:val="00B70D87"/>
    <w:rsid w:val="00B718A5"/>
    <w:rsid w:val="00B76941"/>
    <w:rsid w:val="00B84589"/>
    <w:rsid w:val="00B84F5A"/>
    <w:rsid w:val="00B8548E"/>
    <w:rsid w:val="00B92431"/>
    <w:rsid w:val="00B929FB"/>
    <w:rsid w:val="00BA0179"/>
    <w:rsid w:val="00BA0606"/>
    <w:rsid w:val="00BB00A1"/>
    <w:rsid w:val="00BB0D46"/>
    <w:rsid w:val="00BB31E0"/>
    <w:rsid w:val="00BC2CF0"/>
    <w:rsid w:val="00BC76A1"/>
    <w:rsid w:val="00BC7823"/>
    <w:rsid w:val="00BD7D7D"/>
    <w:rsid w:val="00BE1AE8"/>
    <w:rsid w:val="00BF198C"/>
    <w:rsid w:val="00C032DA"/>
    <w:rsid w:val="00C115E1"/>
    <w:rsid w:val="00C119A0"/>
    <w:rsid w:val="00C24C27"/>
    <w:rsid w:val="00C25DF6"/>
    <w:rsid w:val="00C30E00"/>
    <w:rsid w:val="00C32B05"/>
    <w:rsid w:val="00C33ABA"/>
    <w:rsid w:val="00C44F58"/>
    <w:rsid w:val="00C5168D"/>
    <w:rsid w:val="00C70C69"/>
    <w:rsid w:val="00C7125E"/>
    <w:rsid w:val="00C774C5"/>
    <w:rsid w:val="00C8130D"/>
    <w:rsid w:val="00C81E8A"/>
    <w:rsid w:val="00C91196"/>
    <w:rsid w:val="00C97E6E"/>
    <w:rsid w:val="00CB0ECE"/>
    <w:rsid w:val="00CB2205"/>
    <w:rsid w:val="00CC18DC"/>
    <w:rsid w:val="00CD203B"/>
    <w:rsid w:val="00CD6BC7"/>
    <w:rsid w:val="00CE460E"/>
    <w:rsid w:val="00CE4824"/>
    <w:rsid w:val="00CE7D5B"/>
    <w:rsid w:val="00CF7D75"/>
    <w:rsid w:val="00D01308"/>
    <w:rsid w:val="00D05A18"/>
    <w:rsid w:val="00D066A7"/>
    <w:rsid w:val="00D1394F"/>
    <w:rsid w:val="00D26280"/>
    <w:rsid w:val="00D31715"/>
    <w:rsid w:val="00D32053"/>
    <w:rsid w:val="00D4061C"/>
    <w:rsid w:val="00D44CA8"/>
    <w:rsid w:val="00D45A20"/>
    <w:rsid w:val="00D54136"/>
    <w:rsid w:val="00D545E9"/>
    <w:rsid w:val="00D5677D"/>
    <w:rsid w:val="00D60281"/>
    <w:rsid w:val="00D7238E"/>
    <w:rsid w:val="00D80CC0"/>
    <w:rsid w:val="00D84326"/>
    <w:rsid w:val="00D877D2"/>
    <w:rsid w:val="00D87BD1"/>
    <w:rsid w:val="00D942DA"/>
    <w:rsid w:val="00D9699F"/>
    <w:rsid w:val="00DA1554"/>
    <w:rsid w:val="00DA414B"/>
    <w:rsid w:val="00DB17AD"/>
    <w:rsid w:val="00DB3822"/>
    <w:rsid w:val="00DB63FA"/>
    <w:rsid w:val="00DB6810"/>
    <w:rsid w:val="00DB7E46"/>
    <w:rsid w:val="00DC11E8"/>
    <w:rsid w:val="00DC2550"/>
    <w:rsid w:val="00DC3A33"/>
    <w:rsid w:val="00DD6A18"/>
    <w:rsid w:val="00DE73B2"/>
    <w:rsid w:val="00DF08C6"/>
    <w:rsid w:val="00DF2A50"/>
    <w:rsid w:val="00DF2ACB"/>
    <w:rsid w:val="00DF3A81"/>
    <w:rsid w:val="00DF6AF7"/>
    <w:rsid w:val="00DF6B34"/>
    <w:rsid w:val="00E0690F"/>
    <w:rsid w:val="00E0727D"/>
    <w:rsid w:val="00E2179E"/>
    <w:rsid w:val="00E21FE0"/>
    <w:rsid w:val="00E25DD6"/>
    <w:rsid w:val="00E4590B"/>
    <w:rsid w:val="00E57452"/>
    <w:rsid w:val="00E7407F"/>
    <w:rsid w:val="00E74E62"/>
    <w:rsid w:val="00E867FD"/>
    <w:rsid w:val="00E93ECE"/>
    <w:rsid w:val="00E9790D"/>
    <w:rsid w:val="00EA425C"/>
    <w:rsid w:val="00EB0060"/>
    <w:rsid w:val="00EB4B36"/>
    <w:rsid w:val="00EC1730"/>
    <w:rsid w:val="00EC32E2"/>
    <w:rsid w:val="00EC5E7E"/>
    <w:rsid w:val="00ED0607"/>
    <w:rsid w:val="00EF0BAE"/>
    <w:rsid w:val="00EF265F"/>
    <w:rsid w:val="00F00E77"/>
    <w:rsid w:val="00F03ABD"/>
    <w:rsid w:val="00F03AEA"/>
    <w:rsid w:val="00F062C5"/>
    <w:rsid w:val="00F074DC"/>
    <w:rsid w:val="00F10D5C"/>
    <w:rsid w:val="00F11124"/>
    <w:rsid w:val="00F17141"/>
    <w:rsid w:val="00F24862"/>
    <w:rsid w:val="00F24DF9"/>
    <w:rsid w:val="00F25E91"/>
    <w:rsid w:val="00F331D6"/>
    <w:rsid w:val="00F41331"/>
    <w:rsid w:val="00F42E9E"/>
    <w:rsid w:val="00F479D5"/>
    <w:rsid w:val="00F52527"/>
    <w:rsid w:val="00F679AE"/>
    <w:rsid w:val="00F82EE4"/>
    <w:rsid w:val="00F864D9"/>
    <w:rsid w:val="00FA57A9"/>
    <w:rsid w:val="00FA67CB"/>
    <w:rsid w:val="00FB445F"/>
    <w:rsid w:val="00FC3CE4"/>
    <w:rsid w:val="00FD0E0D"/>
    <w:rsid w:val="00FD55D9"/>
    <w:rsid w:val="00FD7E65"/>
    <w:rsid w:val="00FE2A67"/>
    <w:rsid w:val="00FE3319"/>
    <w:rsid w:val="00FE584C"/>
    <w:rsid w:val="00FF24A5"/>
    <w:rsid w:val="00FF41B5"/>
    <w:rsid w:val="00FF7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47FAE5F0-78E3-4F94-A7F0-EE2C3E51E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7E95"/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uiPriority w:val="99"/>
    <w:qFormat/>
    <w:rsid w:val="008F7E95"/>
    <w:pPr>
      <w:keepNext/>
      <w:jc w:val="center"/>
      <w:outlineLvl w:val="1"/>
    </w:pPr>
    <w:rPr>
      <w:rFonts w:eastAsia="Times New Roman"/>
      <w:b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F82EE4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table" w:styleId="Tabelacomgrade">
    <w:name w:val="Table Grid"/>
    <w:basedOn w:val="Tabelanormal"/>
    <w:uiPriority w:val="99"/>
    <w:rsid w:val="000766B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grafodaLista1">
    <w:name w:val="Parágrafo da Lista1"/>
    <w:basedOn w:val="Normal"/>
    <w:uiPriority w:val="99"/>
    <w:rsid w:val="00E74E62"/>
    <w:pPr>
      <w:ind w:left="720"/>
    </w:pPr>
  </w:style>
  <w:style w:type="character" w:styleId="Refdecomentrio">
    <w:name w:val="annotation reference"/>
    <w:basedOn w:val="Fontepargpadro"/>
    <w:uiPriority w:val="99"/>
    <w:semiHidden/>
    <w:rsid w:val="00F03AE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rsid w:val="00F03AE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F82EE4"/>
    <w:rPr>
      <w:rFonts w:eastAsia="SimSun" w:cs="Times New Roman"/>
      <w:sz w:val="20"/>
      <w:szCs w:val="20"/>
      <w:lang w:eastAsia="zh-CN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F03AE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locked/>
    <w:rsid w:val="00F82EE4"/>
    <w:rPr>
      <w:rFonts w:eastAsia="SimSun" w:cs="Times New Roman"/>
      <w:b/>
      <w:bCs/>
      <w:sz w:val="20"/>
      <w:szCs w:val="20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rsid w:val="00F03A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F82EE4"/>
    <w:rPr>
      <w:rFonts w:eastAsia="SimSun" w:cs="Times New Roman"/>
      <w:sz w:val="2"/>
      <w:lang w:eastAsia="zh-CN"/>
    </w:rPr>
  </w:style>
  <w:style w:type="paragraph" w:styleId="Cabealho">
    <w:name w:val="header"/>
    <w:basedOn w:val="Normal"/>
    <w:link w:val="Cabealho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rsid w:val="00BE1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B84F5A"/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602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60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60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60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602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960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60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0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9602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2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96025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9602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9602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9602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602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2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1669</Words>
  <Characters>9013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PREFEITURA DE FLORIANÓPOLIS</vt:lpstr>
    </vt:vector>
  </TitlesOfParts>
  <Company>pmf</Company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PREFEITURA DE FLORIANÓPOLIS</dc:title>
  <dc:subject/>
  <dc:creator>Administrador</dc:creator>
  <cp:keywords/>
  <dc:description/>
  <cp:lastModifiedBy>Laura Hermes Abraham</cp:lastModifiedBy>
  <cp:revision>2</cp:revision>
  <cp:lastPrinted>2008-11-20T17:39:00Z</cp:lastPrinted>
  <dcterms:created xsi:type="dcterms:W3CDTF">2019-06-26T19:47:00Z</dcterms:created>
  <dcterms:modified xsi:type="dcterms:W3CDTF">2019-06-26T19:47:00Z</dcterms:modified>
</cp:coreProperties>
</file>