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D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637B5E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C607D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C607D" w:rsidRPr="00245A38" w:rsidRDefault="00EC607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Default="00EC607D" w:rsidP="005E3410">
      <w:pPr>
        <w:jc w:val="center"/>
        <w:rPr>
          <w:rFonts w:ascii="Arial" w:hAnsi="Arial" w:cs="Arial"/>
          <w:b/>
          <w:sz w:val="20"/>
          <w:szCs w:val="20"/>
        </w:rPr>
      </w:pPr>
      <w:r w:rsidRPr="00C90C72">
        <w:rPr>
          <w:rFonts w:ascii="Arial" w:hAnsi="Arial" w:cs="Arial"/>
          <w:b/>
          <w:sz w:val="20"/>
          <w:szCs w:val="20"/>
        </w:rPr>
        <w:lastRenderedPageBreak/>
        <w:t xml:space="preserve">ROTEIRO DE AUTO-INSPEÇÃO PARA </w:t>
      </w:r>
      <w:r w:rsidR="00C91D8E">
        <w:rPr>
          <w:rFonts w:ascii="Arial" w:hAnsi="Arial" w:cs="Arial"/>
          <w:b/>
          <w:sz w:val="20"/>
          <w:szCs w:val="20"/>
        </w:rPr>
        <w:t>TRANSPORTE RODOVIÁRIO DE CARGA – CNAE 4930-2/01, 02 E 03</w:t>
      </w:r>
    </w:p>
    <w:p w:rsidR="00C91D8E" w:rsidRDefault="00C91D8E" w:rsidP="005E34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(TRANSPORTE DE MEDICAMENTOS, COSMÉTICOS, SANEANTES E PRODUTOS PARA SAÚDE)</w:t>
      </w:r>
    </w:p>
    <w:p w:rsidR="00C91D8E" w:rsidRPr="00C90C72" w:rsidRDefault="00C91D8E" w:rsidP="005E3410">
      <w:pPr>
        <w:jc w:val="center"/>
        <w:rPr>
          <w:rFonts w:ascii="Arial" w:hAnsi="Arial" w:cs="Arial"/>
          <w:b/>
          <w:sz w:val="20"/>
          <w:szCs w:val="20"/>
        </w:rPr>
      </w:pPr>
    </w:p>
    <w:p w:rsidR="00C90C72" w:rsidRDefault="00C90C72" w:rsidP="005E341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BB0D46" w:rsidRDefault="00EC607D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C607D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C607D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C607D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C607D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Pr="003D43B8" w:rsidRDefault="00EC607D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C607D" w:rsidRPr="003D43B8" w:rsidRDefault="00EC607D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  <w:r w:rsidR="00C91D8E">
              <w:rPr>
                <w:rFonts w:ascii="Arial" w:hAnsi="Arial" w:cs="Arial"/>
                <w:b/>
                <w:sz w:val="20"/>
                <w:szCs w:val="20"/>
              </w:rPr>
              <w:t xml:space="preserve"> PARA TODOS </w:t>
            </w:r>
          </w:p>
          <w:p w:rsidR="00BB21B1" w:rsidRPr="004D7F83" w:rsidRDefault="00BB21B1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B21B1" w:rsidRDefault="00BB21B1" w:rsidP="00BB21B1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</w:pPr>
            <w:r w:rsidRPr="00BB21B1"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  <w:t>ITENS NECESSÁRIOS PARA TODOS</w:t>
            </w:r>
          </w:p>
          <w:p w:rsidR="00BB21B1" w:rsidRPr="00BB21B1" w:rsidRDefault="00BB21B1" w:rsidP="00BB21B1">
            <w:pPr>
              <w:pStyle w:val="PargrafodaLista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 nº 16 de 2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013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da ANVISA. </w:t>
            </w:r>
          </w:p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RDC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nº 16 de 2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014 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ANVISA. </w:t>
            </w:r>
          </w:p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RDC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nº 47 de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2013 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ANVISA. </w:t>
            </w:r>
          </w:p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RDC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nº 48 de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2013 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ANVISA</w:t>
            </w:r>
          </w:p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304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de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2019 da ANVISA.</w:t>
            </w:r>
          </w:p>
          <w:p w:rsidR="00EC607D" w:rsidRDefault="00B622D2" w:rsidP="00B62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B21B1" w:rsidRDefault="00BB21B1" w:rsidP="00BB21B1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1.1.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Enquanto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aguardam o transporte, os produtos são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mantidos em ambiente adequado. Piso, parede e teto são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mantidos em bom estado de conservação (livre de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</w:t>
            </w:r>
            <w:r w:rsidR="00C91D8E" w:rsidRPr="00BB21B1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achaduras, goteiras, infiltrações, bolores, etc.) e bom estado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B622D2" w:rsidRPr="00375154" w:rsidRDefault="00B622D2" w:rsidP="003023AF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7C3A53">
        <w:trPr>
          <w:trHeight w:val="179"/>
          <w:jc w:val="center"/>
        </w:trPr>
        <w:tc>
          <w:tcPr>
            <w:tcW w:w="5815" w:type="dxa"/>
          </w:tcPr>
          <w:p w:rsidR="00EC607D" w:rsidRPr="00C91D8E" w:rsidRDefault="006F083A" w:rsidP="00C91D8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1.2. Os</w:t>
            </w:r>
            <w:r w:rsidR="00C91D8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produtos são mantidos em temperatura adequada de</w:t>
            </w:r>
            <w:r w:rsidR="00C91D8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="00C91D8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acordo com o fabricante durante o transporte e/ou enquanto</w:t>
            </w:r>
            <w:r w:rsidR="00C91D8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="00C91D8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aguardam embarque.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6F083A" w:rsidRDefault="006F083A" w:rsidP="006F083A">
            <w:pPr>
              <w:autoSpaceDE w:val="0"/>
              <w:autoSpaceDN w:val="0"/>
              <w:adjustRightInd w:val="0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1.3. Existe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área de armazenagem específica para cada tipo de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produto (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medicamentos, saneantes,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cosméticos </w:t>
            </w:r>
            <w:proofErr w:type="spellStart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etc</w:t>
            </w:r>
            <w:proofErr w:type="spellEnd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6F083A" w:rsidRDefault="006F083A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1.4. Os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produtos estão posicionados afastados do chão ou das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paredes e guardando distância mínima do telhado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6F083A" w:rsidRDefault="006F083A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1.5. Em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 de manter em depó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sito e/ou transportar: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medicamentos e insumos farmacêuticos destinados a uso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humano, cosméticos, produtos de higiene pessoal, perfumes e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saneantes, possui Autorização de Funcionamento expedido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pela Anvisa.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B21B1" w:rsidRDefault="00BB21B1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6.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As instalações sanitárias do estabelecimento possuem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lavatório para higiene das mãos suprido com as instalações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sanitárias possuem sabonete líquido inodoro antisséptico,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papel toalha não reciclado e papel higiênico.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B21B1" w:rsidRDefault="00BB21B1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1.7.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edificação está ligada ao sistema público de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abastecimento de água (água da </w:t>
            </w:r>
            <w:proofErr w:type="spellStart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Casan</w:t>
            </w:r>
            <w:proofErr w:type="spellEnd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BB21B1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1.8.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Possui conexão com rede de esgoto ou fossa séptica.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BB21B1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1.9.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 lixo é armazenado em local adequado até o momento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da coleta pública.</w:t>
            </w:r>
          </w:p>
          <w:p w:rsidR="00375154" w:rsidRPr="00BB21B1" w:rsidRDefault="00375154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407F5B" w:rsidP="00407F5B">
            <w:pPr>
              <w:autoSpaceDE w:val="0"/>
              <w:autoSpaceDN w:val="0"/>
              <w:adjustRightInd w:val="0"/>
              <w:jc w:val="center"/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</w:pPr>
            <w:r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  <w:t>2.</w:t>
            </w:r>
            <w:r w:rsidR="00BB21B1" w:rsidRPr="00407F5B"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  <w:t>TRANPORTE DE MEDICAMENTOS</w:t>
            </w:r>
          </w:p>
          <w:p w:rsidR="00BB21B1" w:rsidRPr="00375154" w:rsidRDefault="00BB21B1" w:rsidP="0037515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B622D2" w:rsidRPr="00375154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304 de 2009 da ANVISA</w:t>
            </w:r>
          </w:p>
          <w:p w:rsidR="00EC607D" w:rsidRPr="00375154" w:rsidRDefault="00EC607D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F70EA5" w:rsidRPr="004D7F83" w:rsidTr="00375154">
        <w:trPr>
          <w:trHeight w:val="319"/>
          <w:jc w:val="center"/>
        </w:trPr>
        <w:tc>
          <w:tcPr>
            <w:tcW w:w="5815" w:type="dxa"/>
          </w:tcPr>
          <w:p w:rsidR="00F70EA5" w:rsidRPr="007C3A53" w:rsidRDefault="00407F5B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2.1. Provê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acesso restrito aos medicamentos.</w:t>
            </w: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70EA5" w:rsidRPr="00375154" w:rsidRDefault="00F70EA5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07F5B" w:rsidRDefault="00407F5B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2.2 O transporte compartil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hado de medicamentos com outras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categorias de produtos é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realizado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somente quando os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riscos f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orem analisados, mi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tigada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 e concluídos como aceitáveis.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07F5B" w:rsidRDefault="00407F5B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2.3 Dispõe do manife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sto da carga transportada com a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previsão de desembarque a bordo do veículo transportador.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9E138A" w:rsidRDefault="009E138A" w:rsidP="009E138A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2.4. Quando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 tempo de transporte for acima de 4 (quatro)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horas, monitora as condições de transporte relacionadas às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especificações de temperatura, acondicionamento,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armazenagem e umidade do medicamento utilizando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nstrumentos calibrados.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D369AE" w:rsidRDefault="00D369A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2.5. Os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veículos, equipamentos e contêineres não expõ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e os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medicamentos a condições que possam afetar sua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estabilidade e a integridade de sua embalagem ou gerar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contaminações de qualquer natureza.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D369AE" w:rsidRDefault="00D369A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2.6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.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 transporte de medicamentos </w:t>
            </w:r>
            <w:proofErr w:type="spellStart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termolábeis</w:t>
            </w:r>
            <w:proofErr w:type="spellEnd"/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é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feito em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meio qualificável do ponto de vista térmico.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EC4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  <w:p w:rsidR="00EC406D" w:rsidRPr="004D7F83" w:rsidRDefault="00EC406D" w:rsidP="00EC40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Certidão de Responsabilidade T</w:t>
            </w:r>
            <w:r w:rsidR="00EC607D" w:rsidRPr="007C3A53">
              <w:rPr>
                <w:rFonts w:ascii="Arial" w:hAnsi="Arial" w:cs="Arial"/>
                <w:sz w:val="20"/>
                <w:szCs w:val="20"/>
              </w:rPr>
              <w:t>écnica emitida pelo respectivo Conselho de Classe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7C3A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Autorização de Funcionamento de Empresa (AFE) emitid</w:t>
            </w:r>
            <w:r w:rsidR="00C90C72" w:rsidRPr="007C3A53">
              <w:rPr>
                <w:rFonts w:ascii="Arial" w:hAnsi="Arial" w:cs="Arial"/>
                <w:sz w:val="20"/>
                <w:szCs w:val="20"/>
              </w:rPr>
              <w:t>a</w:t>
            </w:r>
            <w:r w:rsidRPr="007C3A53">
              <w:rPr>
                <w:rFonts w:ascii="Arial" w:hAnsi="Arial" w:cs="Arial"/>
                <w:sz w:val="20"/>
                <w:szCs w:val="20"/>
              </w:rPr>
              <w:t xml:space="preserve"> pela ANVISA</w:t>
            </w:r>
            <w:r w:rsidR="007C3A53" w:rsidRPr="007C3A53">
              <w:rPr>
                <w:rFonts w:ascii="Arial" w:hAnsi="Arial" w:cs="Arial"/>
                <w:sz w:val="20"/>
                <w:szCs w:val="20"/>
              </w:rPr>
              <w:t>, contemplando as atividades desenvolvidas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2014 ANVISA; </w:t>
            </w:r>
          </w:p>
          <w:p w:rsidR="00EC607D" w:rsidRPr="00BA425E" w:rsidRDefault="00EC607D" w:rsidP="001D6043">
            <w:pPr>
              <w:rPr>
                <w:rFonts w:ascii="Arial" w:hAnsi="Arial" w:cs="Arial"/>
                <w:sz w:val="20"/>
                <w:szCs w:val="20"/>
              </w:rPr>
            </w:pPr>
            <w:r w:rsidRPr="00BA425E">
              <w:rPr>
                <w:rFonts w:ascii="Arial" w:hAnsi="Arial" w:cs="Arial"/>
                <w:sz w:val="20"/>
                <w:szCs w:val="20"/>
              </w:rPr>
              <w:t>Lei Federal nº 6.360 de 1976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Manual de Boas Práticas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48 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C90C72" w:rsidRPr="004D7F83" w:rsidTr="001D6043">
        <w:trPr>
          <w:jc w:val="center"/>
        </w:trPr>
        <w:tc>
          <w:tcPr>
            <w:tcW w:w="5815" w:type="dxa"/>
          </w:tcPr>
          <w:p w:rsidR="00C90C72" w:rsidRPr="007C3A53" w:rsidRDefault="00325D59" w:rsidP="00325D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Procedimentos Operacionais Padrão, no mínimo para recepção, identificação, controles de estoque, armazenamento de produtos acabados, devolvidos ou recolhidos e gerenciamento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325D59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Controle de Vetores realizada por empresa habilitada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3A53">
              <w:rPr>
                <w:rFonts w:ascii="Arial" w:hAnsi="Arial" w:cs="Arial"/>
                <w:bCs/>
                <w:sz w:val="20"/>
                <w:szCs w:val="20"/>
              </w:rPr>
              <w:t>Programa de Controle Médico e Saúde Ocupacional (PCMSO)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07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Programa de Prevenção de Riscos Ambientais (PPRA)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09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Comprovação do recolhimento e destinação final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222/18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Contrato com empresa responsável pelo transporte dos produtos ou Alvará Sanitário de veículo próprio para transporte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48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Atividades conferem com DAM?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:rsidR="00EC607D" w:rsidRDefault="00EC607D">
      <w:pPr>
        <w:rPr>
          <w:rFonts w:ascii="Arial" w:hAnsi="Arial" w:cs="Arial"/>
          <w:b/>
          <w:sz w:val="20"/>
          <w:szCs w:val="20"/>
        </w:rPr>
      </w:pPr>
    </w:p>
    <w:p w:rsidR="00EC607D" w:rsidRDefault="00EC60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607D" w:rsidRPr="00245A38" w:rsidRDefault="00EC607D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EC607D" w:rsidRPr="00245A38" w:rsidRDefault="00EC607D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C607D" w:rsidRPr="00245A38" w:rsidRDefault="00EC607D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C607D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07D" w:rsidRPr="00B76941" w:rsidRDefault="00EC607D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C607D" w:rsidRPr="00B76941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D87BD1">
      <w:pPr>
        <w:rPr>
          <w:rFonts w:ascii="Arial" w:hAnsi="Arial" w:cs="Arial"/>
          <w:sz w:val="20"/>
          <w:szCs w:val="20"/>
          <w:u w:val="single"/>
        </w:rPr>
      </w:pPr>
    </w:p>
    <w:p w:rsidR="00EC607D" w:rsidRDefault="00EC60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Default="00EC607D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C607D" w:rsidRPr="00FD0E0D" w:rsidRDefault="00EC607D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C607D" w:rsidRPr="008346AF" w:rsidTr="008F1CE5">
        <w:tc>
          <w:tcPr>
            <w:tcW w:w="0" w:type="auto"/>
          </w:tcPr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C607D" w:rsidRPr="008346AF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607D" w:rsidRDefault="00EC607D">
      <w:pPr>
        <w:rPr>
          <w:rFonts w:ascii="Arial" w:hAnsi="Arial" w:cs="Arial"/>
          <w:sz w:val="20"/>
          <w:szCs w:val="20"/>
        </w:rPr>
      </w:pP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sectPr w:rsidR="00EC607D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78" w:rsidRDefault="00576E78">
      <w:r>
        <w:separator/>
      </w:r>
    </w:p>
  </w:endnote>
  <w:endnote w:type="continuationSeparator" w:id="0">
    <w:p w:rsidR="00576E78" w:rsidRDefault="0057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78" w:rsidRDefault="00576E78">
      <w:r>
        <w:separator/>
      </w:r>
    </w:p>
  </w:footnote>
  <w:footnote w:type="continuationSeparator" w:id="0">
    <w:p w:rsidR="00576E78" w:rsidRDefault="0057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D" w:rsidRPr="00BE1AE8" w:rsidRDefault="0023312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07D">
      <w:t xml:space="preserve">                  </w:t>
    </w:r>
    <w:r w:rsidR="00EC607D" w:rsidRPr="00BE1AE8">
      <w:rPr>
        <w:rFonts w:ascii="Arial" w:hAnsi="Arial" w:cs="Arial"/>
        <w:b/>
        <w:sz w:val="22"/>
        <w:szCs w:val="22"/>
      </w:rPr>
      <w:t>PREFEITURA DE FLORIANÓPOLIS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C607D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BF20CA"/>
    <w:multiLevelType w:val="hybridMultilevel"/>
    <w:tmpl w:val="57BAC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7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ABA2A8A"/>
    <w:multiLevelType w:val="multilevel"/>
    <w:tmpl w:val="3626D8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268DB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3B99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043"/>
    <w:rsid w:val="001D62DE"/>
    <w:rsid w:val="001E0144"/>
    <w:rsid w:val="001E0341"/>
    <w:rsid w:val="001F2540"/>
    <w:rsid w:val="00204B17"/>
    <w:rsid w:val="002051D0"/>
    <w:rsid w:val="00217FDB"/>
    <w:rsid w:val="00225333"/>
    <w:rsid w:val="0023312F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23AF"/>
    <w:rsid w:val="00306B3E"/>
    <w:rsid w:val="00312C03"/>
    <w:rsid w:val="0031331A"/>
    <w:rsid w:val="00315B8C"/>
    <w:rsid w:val="003259E3"/>
    <w:rsid w:val="00325D59"/>
    <w:rsid w:val="003308E6"/>
    <w:rsid w:val="00332602"/>
    <w:rsid w:val="00333A85"/>
    <w:rsid w:val="00334D65"/>
    <w:rsid w:val="00344416"/>
    <w:rsid w:val="003452EA"/>
    <w:rsid w:val="0035461B"/>
    <w:rsid w:val="00375154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07F5B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B11E6"/>
    <w:rsid w:val="004C0006"/>
    <w:rsid w:val="004C0758"/>
    <w:rsid w:val="004C4F2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76E78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3410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083A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A5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138A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46EE1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D6FDC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4A5"/>
    <w:rsid w:val="00B41757"/>
    <w:rsid w:val="00B43533"/>
    <w:rsid w:val="00B4518B"/>
    <w:rsid w:val="00B52E64"/>
    <w:rsid w:val="00B53554"/>
    <w:rsid w:val="00B55B80"/>
    <w:rsid w:val="00B5699D"/>
    <w:rsid w:val="00B60877"/>
    <w:rsid w:val="00B622D2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A75D0"/>
    <w:rsid w:val="00BB00A1"/>
    <w:rsid w:val="00BB0D46"/>
    <w:rsid w:val="00BB21B1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466"/>
    <w:rsid w:val="00C5168D"/>
    <w:rsid w:val="00C61C89"/>
    <w:rsid w:val="00C70C69"/>
    <w:rsid w:val="00C7125E"/>
    <w:rsid w:val="00C774C5"/>
    <w:rsid w:val="00C8130D"/>
    <w:rsid w:val="00C81E8A"/>
    <w:rsid w:val="00C90C72"/>
    <w:rsid w:val="00C91196"/>
    <w:rsid w:val="00C91D8E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69AE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304F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32E2"/>
    <w:rsid w:val="00EC406D"/>
    <w:rsid w:val="00EC5E7E"/>
    <w:rsid w:val="00EC607D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27983"/>
    <w:rsid w:val="00F331D6"/>
    <w:rsid w:val="00F41331"/>
    <w:rsid w:val="00F42E9E"/>
    <w:rsid w:val="00F479D5"/>
    <w:rsid w:val="00F52527"/>
    <w:rsid w:val="00F679AE"/>
    <w:rsid w:val="00F70EA5"/>
    <w:rsid w:val="00F80B99"/>
    <w:rsid w:val="00F82EE4"/>
    <w:rsid w:val="00F864D9"/>
    <w:rsid w:val="00FA57A9"/>
    <w:rsid w:val="00FA67CB"/>
    <w:rsid w:val="00FC3CE4"/>
    <w:rsid w:val="00FD0E0D"/>
    <w:rsid w:val="00FD55D9"/>
    <w:rsid w:val="00FD7E65"/>
    <w:rsid w:val="00FE0F44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6661B6-9EF1-4B33-87C0-2FB847F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9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Karine Cunha Volpato</cp:lastModifiedBy>
  <cp:revision>9</cp:revision>
  <cp:lastPrinted>2008-11-20T17:39:00Z</cp:lastPrinted>
  <dcterms:created xsi:type="dcterms:W3CDTF">2021-10-28T13:30:00Z</dcterms:created>
  <dcterms:modified xsi:type="dcterms:W3CDTF">2021-10-28T13:46:00Z</dcterms:modified>
</cp:coreProperties>
</file>