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F6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637B5E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903C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271F6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903C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903C8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</w:t>
      </w:r>
      <w:r w:rsidR="001903C8">
        <w:rPr>
          <w:rFonts w:ascii="Arial" w:hAnsi="Arial" w:cs="Arial"/>
          <w:sz w:val="20"/>
          <w:szCs w:val="20"/>
        </w:rPr>
        <w:t xml:space="preserve">conformidade" no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Autoins</w:t>
      </w:r>
      <w:r w:rsidRPr="00637B5E">
        <w:rPr>
          <w:rFonts w:ascii="Arial" w:hAnsi="Arial" w:cs="Arial"/>
          <w:sz w:val="20"/>
          <w:szCs w:val="20"/>
        </w:rPr>
        <w:t>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271F6" w:rsidRPr="00245A38" w:rsidRDefault="00E271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Pr="002A7093" w:rsidRDefault="001903C8" w:rsidP="006D6AC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E271F6" w:rsidRPr="002A709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7E7B7B" w:rsidRPr="007E7B7B">
        <w:rPr>
          <w:rFonts w:ascii="Arial" w:hAnsi="Arial" w:cs="Arial"/>
          <w:b/>
          <w:sz w:val="20"/>
          <w:szCs w:val="20"/>
          <w:u w:val="single"/>
        </w:rPr>
        <w:t>EDUCAÇÃO SUPERIOR - GRADUAÇÃO</w:t>
      </w:r>
      <w:bookmarkStart w:id="0" w:name="_GoBack"/>
      <w:bookmarkEnd w:id="0"/>
    </w:p>
    <w:p w:rsidR="00E271F6" w:rsidRPr="001D15EF" w:rsidRDefault="00E271F6" w:rsidP="006D6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D15EF">
        <w:rPr>
          <w:rFonts w:ascii="Arial" w:hAnsi="Arial" w:cs="Arial"/>
          <w:b/>
          <w:sz w:val="20"/>
          <w:szCs w:val="20"/>
        </w:rPr>
        <w:t>CÓD.:</w:t>
      </w:r>
      <w:proofErr w:type="gramEnd"/>
      <w:r w:rsidRPr="001D15EF">
        <w:rPr>
          <w:rFonts w:ascii="Arial" w:hAnsi="Arial" w:cs="Arial"/>
          <w:b/>
          <w:sz w:val="20"/>
          <w:szCs w:val="20"/>
        </w:rPr>
        <w:t xml:space="preserve"> </w:t>
      </w:r>
      <w:r w:rsidR="007E7B7B" w:rsidRPr="007E7B7B">
        <w:rPr>
          <w:rFonts w:ascii="Arial" w:hAnsi="Arial" w:cs="Arial"/>
          <w:b/>
          <w:sz w:val="20"/>
          <w:szCs w:val="20"/>
        </w:rPr>
        <w:t>8531-7/00</w:t>
      </w:r>
    </w:p>
    <w:p w:rsidR="00E271F6" w:rsidRPr="00245A38" w:rsidRDefault="00E271F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BB0D46" w:rsidRDefault="00E271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271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271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271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271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Pr="003D43B8" w:rsidRDefault="00E271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271F6" w:rsidRPr="003D43B8" w:rsidRDefault="00E271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540"/>
        <w:gridCol w:w="540"/>
        <w:gridCol w:w="540"/>
        <w:gridCol w:w="720"/>
        <w:gridCol w:w="1440"/>
        <w:gridCol w:w="1567"/>
      </w:tblGrid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trHeight w:val="64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ASPECTOS GERAIS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5A5CF3">
              <w:rPr>
                <w:rFonts w:ascii="Arial" w:hAnsi="Arial" w:cs="Arial"/>
                <w:sz w:val="20"/>
                <w:szCs w:val="20"/>
              </w:rPr>
              <w:t>O edifício é adaptado para o atendimento dos alunos portadores de necessidades especiais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26, IV, § único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5A5CF3">
              <w:rPr>
                <w:rFonts w:ascii="Arial" w:hAnsi="Arial" w:cs="Arial"/>
                <w:sz w:val="20"/>
                <w:szCs w:val="20"/>
              </w:rPr>
              <w:t>Instalações elétricas com quadro de distribuição, disjuntores identificados e s/ partes vivas expostas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LCM 239/06,</w:t>
            </w:r>
            <w:r w:rsidRPr="005A5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19, 48; Port.  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3.214/78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 NR 10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 e instalações para extinção de incêndios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5º c/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NR 23, 23.1.1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Pr="005A5CF3">
              <w:rPr>
                <w:rFonts w:ascii="Arial" w:hAnsi="Arial" w:cs="Arial"/>
                <w:sz w:val="20"/>
                <w:szCs w:val="20"/>
              </w:rPr>
              <w:t>Bebedou</w:t>
            </w:r>
            <w:r>
              <w:rPr>
                <w:rFonts w:ascii="Arial" w:hAnsi="Arial" w:cs="Arial"/>
                <w:sz w:val="20"/>
                <w:szCs w:val="20"/>
              </w:rPr>
              <w:t xml:space="preserve">ros na proporção de um p/ cada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50 alunos 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31 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Bebedouros com torneiras a jato que não permitam a ingestão de água em contato direto com a boca?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IN/GAB/SMS 005/2009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 internas e externas lisas, sem saliências contundentes, cores claras e foscas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17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Pr="005A5CF3">
              <w:rPr>
                <w:rFonts w:ascii="Arial" w:hAnsi="Arial" w:cs="Arial"/>
                <w:sz w:val="20"/>
                <w:szCs w:val="20"/>
              </w:rPr>
              <w:t>Pisos í</w:t>
            </w:r>
            <w:r>
              <w:rPr>
                <w:rFonts w:ascii="Arial" w:hAnsi="Arial" w:cs="Arial"/>
                <w:sz w:val="20"/>
                <w:szCs w:val="20"/>
              </w:rPr>
              <w:t>ntegros e impermeáveis, revestidos com material adequado à sua finalidade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 (escadas: III, d; rampas: IV, e)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mobiliário em boas condições e de fácil limpeza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ventilação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19 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iluminação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cestos coletores de papéis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32,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Equipamentos, revestimentos, instalações e mobiliários de material inócuo, sem partes cortantes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1.13 </w:t>
            </w:r>
            <w:r w:rsidRPr="005A5CF3">
              <w:rPr>
                <w:rFonts w:ascii="Arial" w:hAnsi="Arial" w:cs="Arial"/>
                <w:sz w:val="20"/>
                <w:szCs w:val="20"/>
              </w:rPr>
              <w:t>Terreno limpo e capinado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5A5CF3">
              <w:rPr>
                <w:rFonts w:ascii="Arial" w:hAnsi="Arial" w:cs="Arial"/>
                <w:sz w:val="20"/>
                <w:szCs w:val="20"/>
              </w:rPr>
              <w:t>Protegido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por cercas ou muros (proibido arame farpado)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3B3C8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 </w:t>
            </w:r>
            <w:r w:rsidRPr="003B3C83">
              <w:rPr>
                <w:rFonts w:ascii="Arial" w:hAnsi="Arial" w:cs="Arial"/>
                <w:sz w:val="20"/>
                <w:szCs w:val="20"/>
              </w:rPr>
              <w:t>Rotinas escritas para processo de higienização e limpeza dos ambientes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O espaço físico oferece algum risco adicional à saúde do trabalhador.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COZINHA, REFEITÓRIO E CANTINA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31.455/87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Pr="005A5CF3">
              <w:rPr>
                <w:rFonts w:ascii="Arial" w:hAnsi="Arial" w:cs="Arial"/>
                <w:sz w:val="20"/>
                <w:szCs w:val="20"/>
              </w:rPr>
              <w:t>Acesso controlado, independente e sem comunicação direta com instalações sanitárias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94, l"/>
              </w:smartTagPr>
              <w:r w:rsidRPr="005A5CF3">
                <w:rPr>
                  <w:rFonts w:ascii="Arial" w:hAnsi="Arial" w:cs="Arial"/>
                  <w:sz w:val="20"/>
                  <w:szCs w:val="20"/>
                </w:rPr>
                <w:t>94, l</w:t>
              </w:r>
            </w:smartTag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g</w:t>
            </w:r>
          </w:p>
        </w:tc>
      </w:tr>
      <w:tr w:rsidR="00E271F6" w:rsidRPr="005A5CF3" w:rsidTr="00D3221C">
        <w:trPr>
          <w:trHeight w:val="259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2.2 </w:t>
            </w:r>
            <w:r w:rsidRPr="005A5CF3">
              <w:rPr>
                <w:rFonts w:ascii="Arial" w:hAnsi="Arial" w:cs="Arial"/>
                <w:sz w:val="20"/>
                <w:szCs w:val="20"/>
              </w:rPr>
              <w:t>Piso, paredes e teto lisos,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o; 137, I e 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Art., 28, II, a, b, c</w:t>
            </w:r>
          </w:p>
        </w:tc>
      </w:tr>
      <w:tr w:rsidR="00E271F6" w:rsidRPr="005A5CF3" w:rsidTr="00D3221C">
        <w:trPr>
          <w:trHeight w:val="291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5A5CF3">
              <w:rPr>
                <w:rFonts w:ascii="Arial" w:hAnsi="Arial" w:cs="Arial"/>
                <w:sz w:val="20"/>
                <w:szCs w:val="20"/>
              </w:rPr>
              <w:t>Ventilação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trHeight w:val="287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  <w:r w:rsidRPr="005A5CF3">
              <w:rPr>
                <w:rFonts w:ascii="Arial" w:hAnsi="Arial" w:cs="Arial"/>
                <w:sz w:val="20"/>
                <w:szCs w:val="20"/>
              </w:rPr>
              <w:t>Iluminação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j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  <w:r w:rsidRPr="005A5CF3">
              <w:rPr>
                <w:rFonts w:ascii="Arial" w:hAnsi="Arial" w:cs="Arial"/>
                <w:sz w:val="20"/>
                <w:szCs w:val="20"/>
              </w:rPr>
              <w:t>Dispositivo que impeça a entrada de vetores nas aberturas externas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n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87, 97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livre de materiais estranhos/em desuso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VIII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 </w:t>
            </w:r>
            <w:r w:rsidRPr="005A5CF3">
              <w:rPr>
                <w:rFonts w:ascii="Arial" w:hAnsi="Arial" w:cs="Arial"/>
                <w:sz w:val="20"/>
                <w:szCs w:val="20"/>
              </w:rPr>
              <w:t>Utensílios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higienização de utensílios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c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2.10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 exclusivo para as mãos, provido de papel toalha e sabonete líquido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e, f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2.11 </w:t>
            </w:r>
            <w:r w:rsidRPr="005A5CF3">
              <w:rPr>
                <w:rFonts w:ascii="Arial" w:hAnsi="Arial" w:cs="Arial"/>
                <w:sz w:val="20"/>
                <w:szCs w:val="20"/>
              </w:rPr>
              <w:t>Estrados/ Prateleiras adequados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92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2.12 </w:t>
            </w:r>
            <w:r w:rsidRPr="005A5CF3">
              <w:rPr>
                <w:rFonts w:ascii="Arial" w:hAnsi="Arial" w:cs="Arial"/>
                <w:sz w:val="20"/>
                <w:szCs w:val="20"/>
              </w:rPr>
              <w:t>Prazo de validade dos produtos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IV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2.13 </w:t>
            </w:r>
            <w:r w:rsidRPr="005A5CF3">
              <w:rPr>
                <w:rFonts w:ascii="Arial" w:hAnsi="Arial" w:cs="Arial"/>
                <w:sz w:val="20"/>
                <w:szCs w:val="20"/>
              </w:rPr>
              <w:t>Saneantes com registro no MS e guardados em local reservado a este fim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14, §3º</w:t>
            </w:r>
          </w:p>
        </w:tc>
        <w:tc>
          <w:tcPr>
            <w:tcW w:w="1567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Federal 6360/76, art.2°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2.14 </w:t>
            </w:r>
            <w:r w:rsidRPr="005A5CF3">
              <w:rPr>
                <w:rFonts w:ascii="Arial" w:hAnsi="Arial" w:cs="Arial"/>
                <w:sz w:val="20"/>
                <w:szCs w:val="20"/>
              </w:rPr>
              <w:t>Balcões, câmaras frias e expositores laváveis, impermeáveis,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2.15 </w:t>
            </w:r>
            <w:r w:rsidRPr="005A5CF3">
              <w:rPr>
                <w:rFonts w:ascii="Arial" w:hAnsi="Arial" w:cs="Arial"/>
                <w:sz w:val="20"/>
                <w:szCs w:val="20"/>
              </w:rPr>
              <w:t>Manipuladores de alimentos: asseio, integridade de pele (mãos), uniforme, sem adornos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81, 82, 83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2.16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ou armários para a guarda dos pertences dos funcionários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2.17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 com tampa acionada sem contato manual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RDC 216/04</w:t>
            </w:r>
            <w:r>
              <w:rPr>
                <w:rFonts w:ascii="Arial" w:hAnsi="Arial" w:cs="Arial"/>
                <w:sz w:val="20"/>
                <w:szCs w:val="20"/>
              </w:rPr>
              <w:t>, item 4.5.2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2.18 </w:t>
            </w:r>
            <w:r w:rsidRPr="005A5CF3">
              <w:rPr>
                <w:rFonts w:ascii="Arial" w:hAnsi="Arial" w:cs="Arial"/>
                <w:sz w:val="20"/>
                <w:szCs w:val="20"/>
              </w:rPr>
              <w:t>Canudos embalados individualmente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LCM 319/08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 </w:t>
            </w:r>
            <w:r w:rsidRPr="005A5CF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5A5CF3">
              <w:rPr>
                <w:rFonts w:ascii="Arial" w:hAnsi="Arial" w:cs="Arial"/>
                <w:sz w:val="20"/>
                <w:szCs w:val="20"/>
              </w:rPr>
              <w:t>Separados por sexo, com acessos independentes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Paredes/pisos: material impermeável e resistente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IV, VI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5A5CF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>sos sanitários na proporção 1 para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cada 20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5A5CF3">
              <w:rPr>
                <w:rFonts w:ascii="Arial" w:hAnsi="Arial" w:cs="Arial"/>
                <w:sz w:val="20"/>
                <w:szCs w:val="20"/>
              </w:rPr>
              <w:t>Mictórios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5A5CF3">
              <w:rPr>
                <w:rFonts w:ascii="Arial" w:hAnsi="Arial" w:cs="Arial"/>
                <w:sz w:val="20"/>
                <w:szCs w:val="20"/>
              </w:rPr>
              <w:t>Papel toalha, sabonete líquido, papel higiênico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5A5CF3">
              <w:rPr>
                <w:rFonts w:ascii="Arial" w:hAnsi="Arial" w:cs="Arial"/>
                <w:sz w:val="20"/>
                <w:szCs w:val="20"/>
              </w:rPr>
              <w:t>Condições de ventilação permanente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Art. 27, V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e instalações sanitárias para os funcionários, separados por sexo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60/2000 – Art. 176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4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ABASTECIMENTO DE ÁGUA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reservatório Cisterna (  ) Caixa d’água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12, 17 c/c Art. 31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Sistema público de abastecimento 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Ponteira/poço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E271F6" w:rsidRPr="009857F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Pr="005A5CF3">
              <w:rPr>
                <w:rFonts w:ascii="Arial" w:hAnsi="Arial" w:cs="Arial"/>
                <w:sz w:val="20"/>
                <w:szCs w:val="20"/>
              </w:rPr>
              <w:t>Volume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caixa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d’água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 mínimo </w:t>
            </w:r>
            <w:smartTag w:uri="urn:schemas-microsoft-com:office:smarttags" w:element="metricconverter">
              <w:smartTagPr>
                <w:attr w:name="ProductID" w:val="50 litros"/>
              </w:smartTagPr>
              <w:r>
                <w:rPr>
                  <w:rFonts w:ascii="Arial" w:hAnsi="Arial" w:cs="Arial"/>
                  <w:sz w:val="20"/>
                  <w:szCs w:val="20"/>
                </w:rPr>
                <w:t>50 litros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água por aluno/dia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9857F8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Art.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I,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do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5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SISTEMA DE ESGOTO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5A5CF3">
              <w:rPr>
                <w:rFonts w:ascii="Arial" w:hAnsi="Arial" w:cs="Arial"/>
                <w:sz w:val="20"/>
                <w:szCs w:val="20"/>
              </w:rPr>
              <w:t>Ligado à rede pública de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Fossa 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sumidouro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filtro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Lixeiras com saco coletor e tampa nos pátios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</w:t>
            </w:r>
            <w:r>
              <w:rPr>
                <w:rFonts w:ascii="Arial" w:hAnsi="Arial" w:cs="Arial"/>
                <w:sz w:val="20"/>
                <w:szCs w:val="20"/>
              </w:rPr>
              <w:t xml:space="preserve"> 32,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Dec</w:t>
            </w:r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Pr="005A5CF3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5A5CF3">
              <w:rPr>
                <w:rFonts w:ascii="Arial" w:hAnsi="Arial" w:cs="Arial"/>
                <w:sz w:val="20"/>
                <w:szCs w:val="20"/>
              </w:rPr>
              <w:t>Resíduos sólidos acondicionados em embalagens plásticas devidamente fechadas em local limpo e com frequente manutenção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contentor com tampa para exposição do lixo à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3º e 5º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5A5CF3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Projeto Básico de Arquitetura aprovado na vigilância em saúde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 c/c Art. 3º do Decreto Estadual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7.2 </w:t>
            </w:r>
            <w:r w:rsidRPr="005A5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Laudo de conformidade com o Projeto Básico de Arquitetura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Pr="005A5CF3">
              <w:rPr>
                <w:rFonts w:ascii="Arial" w:hAnsi="Arial" w:cs="Arial"/>
                <w:sz w:val="20"/>
                <w:szCs w:val="20"/>
              </w:rPr>
              <w:t>Habite-se sanitário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Pr="005A5CF3">
              <w:rPr>
                <w:rFonts w:ascii="Arial" w:hAnsi="Arial" w:cs="Arial"/>
                <w:sz w:val="20"/>
                <w:szCs w:val="20"/>
              </w:rPr>
              <w:t>Atestado de Funcionamento do Corpo de Bombeiros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Pr="005A5CF3">
              <w:rPr>
                <w:rFonts w:ascii="Arial" w:hAnsi="Arial" w:cs="Arial"/>
                <w:sz w:val="20"/>
                <w:szCs w:val="20"/>
              </w:rPr>
              <w:t>Certificado de limpeza e desinfecção de caixas d’água e cisternas (semestral)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Munic. 4.783/95 c/c Lei Munic. 6.583/05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Laudo de potabilidade da água (semestral) </w:t>
            </w:r>
            <w:r>
              <w:rPr>
                <w:rFonts w:ascii="Arial" w:hAnsi="Arial" w:cs="Arial"/>
                <w:sz w:val="20"/>
                <w:szCs w:val="20"/>
              </w:rPr>
              <w:t>em caso de o estabelecimento não ser abastecido pela rede pública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C83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 w:rsidRPr="003B3C83">
              <w:rPr>
                <w:rFonts w:ascii="Arial" w:hAnsi="Arial" w:cs="Arial"/>
                <w:bCs/>
                <w:sz w:val="20"/>
                <w:szCs w:val="20"/>
                <w:lang w:val="en-US"/>
              </w:rPr>
              <w:t>24.981/85, Art. 12, § 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Registro da manutenção e limpeza do sistema de climatização ou PMOC, quando acima de 60.000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Port. MS 3523/98,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6°</w:t>
            </w:r>
          </w:p>
        </w:tc>
      </w:tr>
      <w:tr w:rsidR="00E271F6" w:rsidRPr="00BB09CC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7.9 </w:t>
            </w:r>
            <w:r w:rsidRPr="00BB09CC">
              <w:rPr>
                <w:rFonts w:ascii="Arial" w:hAnsi="Arial" w:cs="Arial"/>
                <w:sz w:val="20"/>
                <w:szCs w:val="20"/>
              </w:rPr>
              <w:t>Atestados de saúde para manipuladores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B09CC">
              <w:rPr>
                <w:rFonts w:ascii="Arial" w:hAnsi="Arial" w:cs="Arial"/>
                <w:sz w:val="20"/>
                <w:szCs w:val="20"/>
              </w:rPr>
              <w:t>Lei Est.6320/83 Art.30, §1°</w:t>
            </w:r>
          </w:p>
        </w:tc>
      </w:tr>
      <w:tr w:rsidR="00E271F6" w:rsidRPr="00EC47E4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7.10 </w:t>
            </w:r>
            <w:r w:rsidRPr="00BB09CC">
              <w:rPr>
                <w:rFonts w:ascii="Arial" w:hAnsi="Arial" w:cs="Arial"/>
                <w:sz w:val="20"/>
                <w:szCs w:val="20"/>
              </w:rPr>
              <w:t>Curso de manipulação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9CC">
              <w:rPr>
                <w:rFonts w:ascii="Arial" w:hAnsi="Arial" w:cs="Arial"/>
                <w:color w:val="000000"/>
                <w:sz w:val="20"/>
                <w:szCs w:val="20"/>
              </w:rPr>
              <w:t>Lei Munic. 5980/02</w:t>
            </w:r>
          </w:p>
        </w:tc>
      </w:tr>
      <w:tr w:rsidR="00E271F6" w:rsidRPr="007219F9" w:rsidTr="00D3221C">
        <w:trPr>
          <w:jc w:val="center"/>
        </w:trPr>
        <w:tc>
          <w:tcPr>
            <w:tcW w:w="6203" w:type="dxa"/>
          </w:tcPr>
          <w:p w:rsidR="00E271F6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 Alvará sanitário do fornecedor de produtos alimentícios terceirizados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19F9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F9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724F97" w:rsidTr="00D3221C">
        <w:trPr>
          <w:jc w:val="center"/>
        </w:trPr>
        <w:tc>
          <w:tcPr>
            <w:tcW w:w="6203" w:type="dxa"/>
          </w:tcPr>
          <w:p w:rsidR="00E271F6" w:rsidRPr="00724F97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7.12 </w:t>
            </w:r>
            <w:r w:rsidRPr="00164ABE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ABE">
              <w:rPr>
                <w:rFonts w:ascii="Arial" w:hAnsi="Arial" w:cs="Arial"/>
                <w:sz w:val="20"/>
                <w:szCs w:val="20"/>
              </w:rPr>
              <w:t xml:space="preserve">Decreto Municipal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E271F6" w:rsidRDefault="00E271F6">
      <w:pPr>
        <w:rPr>
          <w:rFonts w:ascii="Arial" w:hAnsi="Arial" w:cs="Arial"/>
          <w:b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271F6" w:rsidRPr="00245A38" w:rsidRDefault="00E271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271F6" w:rsidRPr="00245A38" w:rsidRDefault="00E271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271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1F6" w:rsidRPr="00B76941" w:rsidRDefault="00E271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71F6" w:rsidRPr="00B76941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D87BD1">
      <w:pPr>
        <w:rPr>
          <w:rFonts w:ascii="Arial" w:hAnsi="Arial" w:cs="Arial"/>
          <w:sz w:val="20"/>
          <w:szCs w:val="20"/>
          <w:u w:val="single"/>
        </w:rPr>
      </w:pPr>
    </w:p>
    <w:p w:rsidR="00E271F6" w:rsidRDefault="00E271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Default="00E271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271F6" w:rsidRPr="00FD0E0D" w:rsidRDefault="00E271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271F6" w:rsidRPr="008346AF" w:rsidTr="008F1CE5">
        <w:tc>
          <w:tcPr>
            <w:tcW w:w="0" w:type="auto"/>
          </w:tcPr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271F6" w:rsidRPr="008346AF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1F6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1F6" w:rsidRDefault="00E271F6">
      <w:pPr>
        <w:rPr>
          <w:rFonts w:ascii="Arial" w:hAnsi="Arial" w:cs="Arial"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sectPr w:rsidR="00E271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25" w:rsidRDefault="00CB7425">
      <w:r>
        <w:separator/>
      </w:r>
    </w:p>
  </w:endnote>
  <w:endnote w:type="continuationSeparator" w:id="0">
    <w:p w:rsidR="00CB7425" w:rsidRDefault="00CB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25" w:rsidRDefault="00CB7425">
      <w:r>
        <w:separator/>
      </w:r>
    </w:p>
  </w:footnote>
  <w:footnote w:type="continuationSeparator" w:id="0">
    <w:p w:rsidR="00CB7425" w:rsidRDefault="00CB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F6" w:rsidRPr="00BE1AE8" w:rsidRDefault="001903C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F6">
      <w:t xml:space="preserve">                  </w:t>
    </w:r>
    <w:r w:rsidR="00E271F6" w:rsidRPr="00BE1AE8">
      <w:rPr>
        <w:rFonts w:ascii="Arial" w:hAnsi="Arial" w:cs="Arial"/>
        <w:b/>
        <w:sz w:val="22"/>
        <w:szCs w:val="22"/>
      </w:rPr>
      <w:t>PREFEITURA DE FLORIANÓPOLIS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271F6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64ABE"/>
    <w:rsid w:val="001756A7"/>
    <w:rsid w:val="0018300F"/>
    <w:rsid w:val="00186825"/>
    <w:rsid w:val="00186DD8"/>
    <w:rsid w:val="001903C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15EF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093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FE1"/>
    <w:rsid w:val="0037559C"/>
    <w:rsid w:val="00382ED3"/>
    <w:rsid w:val="00383F35"/>
    <w:rsid w:val="00385284"/>
    <w:rsid w:val="003A36CC"/>
    <w:rsid w:val="003A664F"/>
    <w:rsid w:val="003B207B"/>
    <w:rsid w:val="003B2C36"/>
    <w:rsid w:val="003B3C83"/>
    <w:rsid w:val="003B4014"/>
    <w:rsid w:val="003C0412"/>
    <w:rsid w:val="003C0E77"/>
    <w:rsid w:val="003C105F"/>
    <w:rsid w:val="003C17B1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5F38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B6CD5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5CF3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D6ACE"/>
    <w:rsid w:val="006E37E4"/>
    <w:rsid w:val="006F13C0"/>
    <w:rsid w:val="006F6DF7"/>
    <w:rsid w:val="006F7B25"/>
    <w:rsid w:val="00721723"/>
    <w:rsid w:val="007219F9"/>
    <w:rsid w:val="00721B26"/>
    <w:rsid w:val="00724F97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E7B7B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857F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9CC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B742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221C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271F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7E4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08EC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5E5557-E90B-4133-BCC2-75B122B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2019-06-11T17:36:00Z</dcterms:created>
  <dcterms:modified xsi:type="dcterms:W3CDTF">2019-06-11T17:36:00Z</dcterms:modified>
</cp:coreProperties>
</file>