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DD4DD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="00DD4DD4" w:rsidRPr="00DD4DD4">
        <w:rPr>
          <w:rFonts w:ascii="Arial" w:hAnsi="Arial" w:cs="Arial"/>
          <w:b/>
          <w:sz w:val="20"/>
          <w:szCs w:val="20"/>
          <w:u w:val="single"/>
        </w:rPr>
        <w:t>EDUCAÇÃO SUPERIOR – PÓS-GRADUAÇÃO E EXTENSÃO</w:t>
      </w:r>
    </w:p>
    <w:bookmarkEnd w:id="0"/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DD4DD4" w:rsidRPr="00DD4DD4">
        <w:rPr>
          <w:rFonts w:ascii="Arial" w:hAnsi="Arial" w:cs="Arial"/>
          <w:b/>
          <w:sz w:val="20"/>
          <w:szCs w:val="20"/>
        </w:rPr>
        <w:t>8533-3/00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B2" w:rsidRDefault="00C832B2">
      <w:r>
        <w:separator/>
      </w:r>
    </w:p>
  </w:endnote>
  <w:endnote w:type="continuationSeparator" w:id="0">
    <w:p w:rsidR="00C832B2" w:rsidRDefault="00C8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B2" w:rsidRDefault="00C832B2">
      <w:r>
        <w:separator/>
      </w:r>
    </w:p>
  </w:footnote>
  <w:footnote w:type="continuationSeparator" w:id="0">
    <w:p w:rsidR="00C832B2" w:rsidRDefault="00C8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E7B7B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832B2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4DD4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EF73F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2019-06-11T17:37:00Z</dcterms:created>
  <dcterms:modified xsi:type="dcterms:W3CDTF">2019-06-11T17:37:00Z</dcterms:modified>
</cp:coreProperties>
</file>