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0" w:rsidRDefault="00C82370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82370" w:rsidRPr="00637B5E" w:rsidRDefault="00C82370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73D57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C82370" w:rsidRDefault="00C82370" w:rsidP="00BE1AE8">
      <w:pPr>
        <w:jc w:val="center"/>
        <w:rPr>
          <w:shd w:val="clear" w:color="auto" w:fill="FFFF66"/>
        </w:rPr>
      </w:pPr>
    </w:p>
    <w:p w:rsidR="00C82370" w:rsidRPr="00637B5E" w:rsidRDefault="00C82370" w:rsidP="00BE1AE8">
      <w:pPr>
        <w:jc w:val="center"/>
        <w:rPr>
          <w:shd w:val="clear" w:color="auto" w:fill="FFFF66"/>
        </w:rPr>
      </w:pPr>
    </w:p>
    <w:p w:rsidR="00C82370" w:rsidRPr="00637B5E" w:rsidRDefault="00C82370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73D57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73D57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C82370" w:rsidRPr="00637B5E" w:rsidRDefault="00C82370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C82370" w:rsidRPr="00637B5E" w:rsidRDefault="00C82370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C82370" w:rsidRPr="00637B5E" w:rsidRDefault="00C82370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C82370" w:rsidRPr="00637B5E" w:rsidRDefault="00C82370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C82370" w:rsidRPr="00637B5E" w:rsidRDefault="00C82370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C82370" w:rsidRPr="00637B5E" w:rsidRDefault="00C82370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C82370" w:rsidRPr="00637B5E" w:rsidRDefault="00C82370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</w:t>
      </w:r>
      <w:r w:rsidR="00373D57">
        <w:rPr>
          <w:rFonts w:ascii="Arial" w:hAnsi="Arial" w:cs="Arial"/>
          <w:sz w:val="20"/>
          <w:szCs w:val="20"/>
        </w:rPr>
        <w:t xml:space="preserve">reenchimento do Roteiro de </w:t>
      </w:r>
      <w:proofErr w:type="spellStart"/>
      <w:r w:rsidR="00373D57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C82370" w:rsidRPr="00637B5E" w:rsidRDefault="00C82370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</w:t>
      </w:r>
      <w:r w:rsidR="00373D57">
        <w:rPr>
          <w:rFonts w:ascii="Arial" w:hAnsi="Arial" w:cs="Arial"/>
          <w:sz w:val="20"/>
          <w:szCs w:val="20"/>
        </w:rPr>
        <w:t xml:space="preserve">onformidade" no Roteiro de </w:t>
      </w:r>
      <w:proofErr w:type="spellStart"/>
      <w:r w:rsidR="00373D57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C82370" w:rsidRPr="00245A38" w:rsidRDefault="00C82370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82370" w:rsidRPr="00373D57" w:rsidRDefault="00373D57" w:rsidP="00373D5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C82370" w:rsidRPr="00245A38">
        <w:rPr>
          <w:rFonts w:ascii="Arial" w:hAnsi="Arial" w:cs="Arial"/>
          <w:b/>
          <w:sz w:val="20"/>
          <w:szCs w:val="20"/>
          <w:u w:val="single"/>
        </w:rPr>
        <w:t xml:space="preserve">INSPEÇÃO </w:t>
      </w:r>
      <w:r w:rsidR="00C82370" w:rsidRPr="00EC2984">
        <w:rPr>
          <w:rFonts w:ascii="Arial" w:hAnsi="Arial" w:cs="Arial"/>
          <w:b/>
          <w:sz w:val="20"/>
          <w:szCs w:val="20"/>
          <w:u w:val="single"/>
        </w:rPr>
        <w:t xml:space="preserve">PARA </w:t>
      </w:r>
      <w:r w:rsidR="005C394C" w:rsidRPr="005C394C">
        <w:rPr>
          <w:rFonts w:ascii="Arial" w:hAnsi="Arial" w:cs="Arial"/>
          <w:b/>
          <w:sz w:val="20"/>
          <w:szCs w:val="20"/>
          <w:u w:val="single"/>
        </w:rPr>
        <w:t>ENSINO DE ESPORTES</w:t>
      </w:r>
      <w:bookmarkStart w:id="0" w:name="_GoBack"/>
      <w:bookmarkEnd w:id="0"/>
    </w:p>
    <w:p w:rsidR="00C82370" w:rsidRPr="00245A38" w:rsidRDefault="00C8237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74C13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OD</w:t>
      </w:r>
      <w:r w:rsidRPr="00874C1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</w:t>
      </w:r>
      <w:proofErr w:type="gramEnd"/>
      <w:r w:rsidRPr="00874C13">
        <w:rPr>
          <w:rFonts w:ascii="Arial" w:hAnsi="Arial" w:cs="Arial"/>
          <w:b/>
          <w:sz w:val="20"/>
          <w:szCs w:val="20"/>
        </w:rPr>
        <w:t xml:space="preserve"> </w:t>
      </w:r>
      <w:r w:rsidR="005C394C" w:rsidRPr="005C394C">
        <w:rPr>
          <w:rFonts w:ascii="Arial" w:hAnsi="Arial" w:cs="Arial"/>
          <w:b/>
          <w:sz w:val="20"/>
          <w:szCs w:val="20"/>
        </w:rPr>
        <w:t>8591-1/00</w:t>
      </w:r>
    </w:p>
    <w:p w:rsidR="00C82370" w:rsidRPr="00BB0D46" w:rsidRDefault="00C82370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C82370" w:rsidRDefault="00C82370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C82370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C82370" w:rsidRPr="00BB0D46" w:rsidRDefault="00C82370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C82370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C82370" w:rsidRPr="00BB0D46" w:rsidRDefault="00C82370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C82370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C82370" w:rsidRPr="00BB0D46" w:rsidRDefault="00C82370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C82370" w:rsidRPr="00245A38" w:rsidTr="00BB0D46">
        <w:trPr>
          <w:trHeight w:val="708"/>
        </w:trPr>
        <w:tc>
          <w:tcPr>
            <w:tcW w:w="6948" w:type="dxa"/>
            <w:vAlign w:val="center"/>
          </w:tcPr>
          <w:p w:rsidR="00C82370" w:rsidRPr="00BB0D46" w:rsidRDefault="00C82370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C82370" w:rsidRPr="00BB0D46" w:rsidRDefault="00C82370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C82370" w:rsidRPr="00BB0D46" w:rsidRDefault="00C82370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C82370" w:rsidRPr="00245A38" w:rsidRDefault="00C82370">
      <w:pPr>
        <w:rPr>
          <w:rFonts w:ascii="Arial" w:hAnsi="Arial" w:cs="Arial"/>
          <w:sz w:val="20"/>
          <w:szCs w:val="20"/>
        </w:rPr>
      </w:pPr>
    </w:p>
    <w:p w:rsidR="00C82370" w:rsidRPr="003D43B8" w:rsidRDefault="00C82370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C82370" w:rsidRDefault="00C82370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C82370" w:rsidRDefault="00C82370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C82370" w:rsidRDefault="00C82370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C82370" w:rsidRPr="003D43B8" w:rsidRDefault="00C82370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C82370" w:rsidRDefault="00C82370">
      <w:pPr>
        <w:rPr>
          <w:rFonts w:ascii="Arial" w:hAnsi="Arial" w:cs="Arial"/>
          <w:sz w:val="20"/>
          <w:szCs w:val="20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049"/>
      </w:tblGrid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1 - ESTRUTURA FÍSICA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LCM 303/07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1.1 - Dimensão mínima de 6m², largura de 2,5m lineares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4°, II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1.2 - 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Piso, teto e paredes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laváveis, impermeáveis e de cor clara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4°, III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1.3 - Pia com bancada e água corrente, com funcionamento através de pedal, para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assepcia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 xml:space="preserve"> das mãos e dos materiais, provida de toalha descartável e sabonete líquido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4°, IV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1.4  lixeira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com tampa e acionamento sem o uso das mãos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7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1.5 – Realiza os procedimentos de esterilização de todos os instrumentais utilizados nos procedimentos em AUTOCLAVE, inclusive dos adornos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9°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1.5 - Sanitários com água, sabonete líquido, toalha descartável, lixeira com tampa e pedal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Manual de Processamento de Artigos e Superfícies MS/02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1.6 - Possui armário fechado para guarda de produtos, artigos e materiais descartáveis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9° Parágrafo Único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1.7 - Possui armário fechado para guarda de saneantes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Lei Fed. 6360/76, Art. 2° e 12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1.8 - Os saneantes possuem registro do MS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1.10 - O espaço fisco oferece algum risco adicional à saúde do trabalhador. Quais: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48 da LCM 239/06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2 - TATUADOR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LCM 303/07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2.1 - Lava a mão com água, sabão, esfregando entre os dedos, sob unhas com solução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anti-séptica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>, com álcool etílico iodado a 2% ou álcool 70%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6°, I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2.2 - Usa luvas descartáveis, de uso único e trocadas a cada cliente durante os procedimentos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6°, II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3 - CLIENTE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LCM 303/07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3.1 - Realiza limpeza da pele com água potável e sabonete líquido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6°, III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3.2 -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Anti-sepsia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 xml:space="preserve"> da pele com álcool etílico iodado a 2% ou álcool 70% por no mínimo 3 minutos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6° IV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4 - PROCEDIMENTOS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LCM 303/07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lastRenderedPageBreak/>
              <w:t xml:space="preserve">4.1 - Faz limpeza, descontaminação e esterilização dos equipamentos 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7°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4.2 - Usa agulhas e lâminas descartáveis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7° § 1°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4.3 - Não reutiliza agulhas ou lâminas descartáveis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Art. 7° § 1° 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4.4 - Dá destino adequado para os resíduos gerados pelo estabelecimento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7°, II – RDC 306/04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4.5 - Resíduos infectantes perfuro cortantes acondicionados em sacos brancos leitosos e em lixeiras com tampa, acionada por pedal, para áreas de assistência que produzem esse resíduo?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Art. 13 § 2°, b </w:t>
            </w:r>
          </w:p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RDC 306/04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4.6 - Esteriliza o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piercing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 xml:space="preserve"> antes da implantação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Manual de Processam. 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Artigos e Superfícies MS/02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4.8 - Possui rotinas de esterilização escritas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Manual de Processam. 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Artigos e Superfícies MS/02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4.9 - Usa tintas atóxicas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8°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4.10 - As tintas são fracionadas para cada cliente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15 c/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Portaria CVS 12/99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4.11 - Possui rotinas para atender a proibição de realizar tatuagem em áreas cartilaginosas (nariz, orelhas) – </w:t>
            </w:r>
            <w:r w:rsidRPr="00CF28A9">
              <w:rPr>
                <w:rFonts w:ascii="Arial" w:hAnsi="Arial" w:cs="Arial"/>
                <w:i/>
                <w:sz w:val="20"/>
                <w:szCs w:val="20"/>
              </w:rPr>
              <w:t>Exceto brincos nos lóbulos das orelhas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10 c/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Lei Fed. 8069/90 -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 xml:space="preserve"> 129 Código Penal Brasileiro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4.12 – Produtos utilizados no procedimento de pigmentação artificial permanente da pele (tintas, aparelhos, recipientes para pigmentos, agulhas,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>) possuem registro na ANVISA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RDC 55/08 ANVISA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4.13 -Realiza </w:t>
            </w:r>
            <w:r>
              <w:rPr>
                <w:rFonts w:ascii="Arial" w:hAnsi="Arial" w:cs="Arial"/>
                <w:sz w:val="20"/>
                <w:szCs w:val="20"/>
              </w:rPr>
              <w:t xml:space="preserve">semanalmente </w:t>
            </w:r>
            <w:r w:rsidRPr="00CF28A9">
              <w:rPr>
                <w:rFonts w:ascii="Arial" w:hAnsi="Arial" w:cs="Arial"/>
                <w:sz w:val="20"/>
                <w:szCs w:val="20"/>
              </w:rPr>
              <w:t xml:space="preserve">monitoração autoclave realizando o teste biológico com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Bacilus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Stearothermophilus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 xml:space="preserve">, para validação do processo de esterilização e 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registra  em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planilha os resultados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Manual de Processam. 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Artigos e Superfícies MS/02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bCs/>
                <w:sz w:val="20"/>
                <w:szCs w:val="20"/>
              </w:rPr>
              <w:t>5 - ABASTECIMENTO DE ÁGUA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bCs/>
                <w:sz w:val="20"/>
                <w:szCs w:val="20"/>
              </w:rPr>
              <w:t>Dec. Est. 24.981/85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5.1 - Possui 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reservatório  Cisterna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(  ) Caixa d’água (  )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12, 17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5.2 - Sistema público de abastecimento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12, § 2°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5.3 - Ponteira/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Poço  com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Tratament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12, § 2°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bCs/>
                <w:sz w:val="20"/>
                <w:szCs w:val="20"/>
              </w:rPr>
              <w:t>6 - SISTEMA DE ESGOTO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bCs/>
                <w:sz w:val="20"/>
                <w:szCs w:val="20"/>
              </w:rPr>
              <w:t>LCM 303/07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6.1 - Ligado à rede pública de coleta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4, I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7 - ACONDICIONAMENTO E DESTINO DO LIXO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LCM 113/03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7.1 - Local para o acondicionamento do lixo junto ao alinhamento frontal, não obstruindo o passeio público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1°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7.2 - Resíduos sólidos acondicionados em embalagens plásticas devidamente fechadas em local limpo e com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freqüente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 xml:space="preserve"> manutenção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1º, § 4° e § 5 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7.3 - Possui contentores com tampa e rodas diferenciados por cores de acordo com o tipo de lixo.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3º e 5º</w:t>
            </w:r>
          </w:p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7.4 - O tempo de permanência dos contentores nos logradouros públicos é cumprido: Coleta diurna: até duas horas antes da coleta e duas horas depois; Coleta após as 18 horas os contentores deverão ser retirados até as 7 horas do dia seguinte.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7°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7.5 - Utilização dos serviços de coleta do município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LCM 239/06, Art. 43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8 - DOCUMENTOS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  <w:vAlign w:val="center"/>
          </w:tcPr>
          <w:p w:rsidR="00C82370" w:rsidRPr="00CF28A9" w:rsidRDefault="00C82370" w:rsidP="007B0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049" w:type="dxa"/>
          </w:tcPr>
          <w:p w:rsidR="00C82370" w:rsidRPr="00CF28A9" w:rsidRDefault="00C82370" w:rsidP="007B0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8A9">
              <w:rPr>
                <w:rFonts w:ascii="Arial" w:hAnsi="Arial" w:cs="Arial"/>
                <w:b/>
                <w:sz w:val="20"/>
                <w:szCs w:val="20"/>
              </w:rPr>
              <w:t>LCM 303/07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8.1 - Cadastro – identificação do cliente, nome, idade, sexo, endereço, data do atendimento, tipo de procedimento, acidentes ou reações adversas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2°, II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8.2 - Informa o cliente dos riscos antes dos procedimentos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3°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8.3 - Certificado de limpeza e desinfecção de caixas d’água e cisternas (semestral)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Lei Munic. 4.783/95 c/</w:t>
            </w:r>
            <w:proofErr w:type="gramStart"/>
            <w:r w:rsidRPr="00CF28A9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CF28A9">
              <w:rPr>
                <w:rFonts w:ascii="Arial" w:hAnsi="Arial" w:cs="Arial"/>
                <w:sz w:val="20"/>
                <w:szCs w:val="20"/>
              </w:rPr>
              <w:t xml:space="preserve"> Lei Munic. 6.583/05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8.4 - Atividades exercidas conferem com a DAM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Decreto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Munc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>. 4591/06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  <w:vAlign w:val="center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8.5 - Livro de registro de acidentes (reações alérgicas, infecções, data da ocorrência)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2°, III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8.6 - Atestado de Funcionamento do Corpo de Bombeiros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  <w:lang w:val="en-US"/>
              </w:rPr>
              <w:t>Decr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  <w:lang w:val="en-US"/>
              </w:rPr>
              <w:t>. Est. 30436/86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8.7 - Habite-se sanitário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lastRenderedPageBreak/>
              <w:t>8.8 - Vacinação obrigatória contra tétano, difteria e hepatite B, para os profissionais da saúde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Portaria 485/05 – NR 32</w:t>
            </w:r>
          </w:p>
        </w:tc>
      </w:tr>
      <w:tr w:rsidR="00C82370" w:rsidRPr="00373D57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8.9 - Laudo de potabilidade da água (semestral) em caso de o estabelecimento não ser abastecido pela rede pública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28A9">
              <w:rPr>
                <w:rFonts w:ascii="Arial" w:hAnsi="Arial" w:cs="Arial"/>
                <w:sz w:val="20"/>
                <w:szCs w:val="20"/>
                <w:lang w:val="en-US"/>
              </w:rPr>
              <w:t xml:space="preserve">Dec. Est. 30436/86, Art. 31, II; Dec. Est.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24.981/85, Art.12, </w:t>
            </w:r>
            <w:r w:rsidRPr="00CF28A9">
              <w:rPr>
                <w:rFonts w:ascii="Arial" w:hAnsi="Arial" w:cs="Arial"/>
                <w:bCs/>
                <w:sz w:val="20"/>
                <w:szCs w:val="20"/>
                <w:lang w:val="en-US"/>
              </w:rPr>
              <w:t>§2°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 xml:space="preserve">8.10 -Certificado de </w:t>
            </w:r>
            <w:proofErr w:type="spellStart"/>
            <w:r w:rsidRPr="00CF28A9"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 w:rsidRPr="00CF28A9">
              <w:rPr>
                <w:rFonts w:ascii="Arial" w:hAnsi="Arial" w:cs="Arial"/>
                <w:sz w:val="20"/>
                <w:szCs w:val="20"/>
              </w:rPr>
              <w:t xml:space="preserve"> e desratização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Dec. Est. 30436/86, Art. 12</w:t>
            </w:r>
          </w:p>
        </w:tc>
      </w:tr>
      <w:tr w:rsidR="00C82370" w:rsidRPr="00CF28A9" w:rsidTr="007B05A0">
        <w:trPr>
          <w:jc w:val="center"/>
        </w:trPr>
        <w:tc>
          <w:tcPr>
            <w:tcW w:w="5815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8.11 - Possui contrato com a empresa que recolhe resíduos sólidos infectantes e material perfuro cortante</w:t>
            </w: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82370" w:rsidRPr="00CF28A9" w:rsidRDefault="00C82370" w:rsidP="007B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C82370" w:rsidRPr="00CF28A9" w:rsidRDefault="00C82370" w:rsidP="007B05A0">
            <w:pPr>
              <w:rPr>
                <w:rFonts w:ascii="Arial" w:hAnsi="Arial" w:cs="Arial"/>
                <w:sz w:val="20"/>
                <w:szCs w:val="20"/>
              </w:rPr>
            </w:pPr>
            <w:r w:rsidRPr="00CF28A9">
              <w:rPr>
                <w:rFonts w:ascii="Arial" w:hAnsi="Arial" w:cs="Arial"/>
                <w:sz w:val="20"/>
                <w:szCs w:val="20"/>
              </w:rPr>
              <w:t>RDC 306/04</w:t>
            </w:r>
          </w:p>
        </w:tc>
      </w:tr>
    </w:tbl>
    <w:p w:rsidR="00C82370" w:rsidRDefault="00C82370">
      <w:pPr>
        <w:rPr>
          <w:rFonts w:ascii="Arial" w:hAnsi="Arial" w:cs="Arial"/>
          <w:b/>
          <w:sz w:val="20"/>
          <w:szCs w:val="20"/>
        </w:rPr>
      </w:pPr>
    </w:p>
    <w:p w:rsidR="00C82370" w:rsidRPr="00245A38" w:rsidRDefault="00C82370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C82370" w:rsidRPr="00245A38" w:rsidRDefault="00C82370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C82370" w:rsidRPr="00245A38" w:rsidRDefault="00C82370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C82370" w:rsidRPr="00245A38" w:rsidRDefault="00C82370">
      <w:pPr>
        <w:rPr>
          <w:rFonts w:ascii="Arial" w:hAnsi="Arial" w:cs="Arial"/>
          <w:sz w:val="20"/>
          <w:szCs w:val="20"/>
        </w:rPr>
      </w:pPr>
    </w:p>
    <w:p w:rsidR="00C82370" w:rsidRDefault="00C82370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C82370" w:rsidRDefault="00C82370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C82370" w:rsidRDefault="00C82370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C82370" w:rsidRPr="00637B5E" w:rsidRDefault="00C82370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C82370" w:rsidRPr="00637B5E" w:rsidRDefault="00C82370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C82370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C82370" w:rsidRPr="00637B5E" w:rsidRDefault="00C82370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C82370" w:rsidRPr="00637B5E" w:rsidRDefault="00C82370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370" w:rsidRPr="00637B5E" w:rsidRDefault="00C82370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370" w:rsidRPr="00637B5E" w:rsidRDefault="00C82370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370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82370" w:rsidRPr="00637B5E" w:rsidRDefault="00C82370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82370" w:rsidRPr="00637B5E" w:rsidRDefault="00C82370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370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82370" w:rsidRPr="00637B5E" w:rsidRDefault="00C82370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82370" w:rsidRPr="00637B5E" w:rsidRDefault="00C82370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370" w:rsidRPr="00637B5E" w:rsidRDefault="00C82370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370" w:rsidRPr="00637B5E" w:rsidRDefault="00C82370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370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C82370" w:rsidRPr="00637B5E" w:rsidRDefault="00C82370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C82370" w:rsidRPr="00637B5E" w:rsidRDefault="00C82370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2370" w:rsidRPr="00B76941" w:rsidRDefault="00C82370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C82370" w:rsidRPr="00B76941" w:rsidRDefault="00C82370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C82370" w:rsidRDefault="00C82370" w:rsidP="00D87BD1">
      <w:pPr>
        <w:rPr>
          <w:rFonts w:ascii="Arial" w:hAnsi="Arial" w:cs="Arial"/>
          <w:sz w:val="20"/>
          <w:szCs w:val="20"/>
          <w:u w:val="single"/>
        </w:rPr>
      </w:pPr>
    </w:p>
    <w:p w:rsidR="00C82370" w:rsidRDefault="00C8237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82370" w:rsidRDefault="00C82370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C82370" w:rsidRDefault="00C82370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C82370" w:rsidRPr="00FD0E0D" w:rsidRDefault="00C82370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C82370" w:rsidRDefault="00C82370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C82370" w:rsidTr="00042B0A">
        <w:tc>
          <w:tcPr>
            <w:tcW w:w="10760" w:type="dxa"/>
          </w:tcPr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82370" w:rsidTr="00042B0A">
        <w:tc>
          <w:tcPr>
            <w:tcW w:w="10760" w:type="dxa"/>
          </w:tcPr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82370" w:rsidTr="00042B0A">
        <w:tc>
          <w:tcPr>
            <w:tcW w:w="10760" w:type="dxa"/>
          </w:tcPr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82370" w:rsidTr="00042B0A">
        <w:tc>
          <w:tcPr>
            <w:tcW w:w="10760" w:type="dxa"/>
          </w:tcPr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82370" w:rsidTr="00042B0A">
        <w:tc>
          <w:tcPr>
            <w:tcW w:w="10760" w:type="dxa"/>
          </w:tcPr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82370" w:rsidTr="00042B0A">
        <w:tc>
          <w:tcPr>
            <w:tcW w:w="10760" w:type="dxa"/>
          </w:tcPr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82370" w:rsidTr="00042B0A">
        <w:tc>
          <w:tcPr>
            <w:tcW w:w="10760" w:type="dxa"/>
          </w:tcPr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82370" w:rsidTr="00042B0A">
        <w:tc>
          <w:tcPr>
            <w:tcW w:w="10760" w:type="dxa"/>
          </w:tcPr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82370" w:rsidRPr="00042B0A" w:rsidRDefault="00C82370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C82370" w:rsidRPr="00245A38" w:rsidRDefault="00C823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C82370" w:rsidRPr="008346AF" w:rsidTr="008F1CE5">
        <w:tc>
          <w:tcPr>
            <w:tcW w:w="0" w:type="auto"/>
          </w:tcPr>
          <w:p w:rsidR="00C82370" w:rsidRPr="00637B5E" w:rsidRDefault="00C82370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C82370" w:rsidRPr="00637B5E" w:rsidRDefault="00C82370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C82370" w:rsidRPr="008346AF" w:rsidTr="008F1CE5">
        <w:tc>
          <w:tcPr>
            <w:tcW w:w="0" w:type="auto"/>
          </w:tcPr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C82370" w:rsidTr="008F1CE5">
        <w:tc>
          <w:tcPr>
            <w:tcW w:w="0" w:type="auto"/>
          </w:tcPr>
          <w:p w:rsidR="00C82370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C82370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82370" w:rsidRDefault="00C82370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82370" w:rsidRDefault="00C82370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2370" w:rsidTr="008F1CE5">
        <w:tc>
          <w:tcPr>
            <w:tcW w:w="0" w:type="auto"/>
          </w:tcPr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2370" w:rsidRPr="00637B5E" w:rsidRDefault="00C82370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C82370" w:rsidRPr="00637B5E" w:rsidRDefault="00C82370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C82370" w:rsidTr="008F1CE5">
        <w:tc>
          <w:tcPr>
            <w:tcW w:w="0" w:type="auto"/>
          </w:tcPr>
          <w:p w:rsidR="00C82370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C82370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2370" w:rsidRPr="00637B5E" w:rsidRDefault="00C82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82370" w:rsidRDefault="00C82370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82370" w:rsidRDefault="00C82370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C82370" w:rsidRPr="00637B5E" w:rsidRDefault="00C82370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2370" w:rsidRDefault="00C82370">
      <w:pPr>
        <w:rPr>
          <w:rFonts w:ascii="Arial" w:hAnsi="Arial" w:cs="Arial"/>
          <w:sz w:val="20"/>
          <w:szCs w:val="20"/>
        </w:rPr>
      </w:pPr>
    </w:p>
    <w:p w:rsidR="00C82370" w:rsidRPr="00245A38" w:rsidRDefault="00C82370">
      <w:pPr>
        <w:rPr>
          <w:rFonts w:ascii="Arial" w:hAnsi="Arial" w:cs="Arial"/>
          <w:sz w:val="20"/>
          <w:szCs w:val="20"/>
        </w:rPr>
      </w:pPr>
    </w:p>
    <w:sectPr w:rsidR="00C82370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DC7" w:rsidRDefault="00DD2DC7">
      <w:r>
        <w:separator/>
      </w:r>
    </w:p>
  </w:endnote>
  <w:endnote w:type="continuationSeparator" w:id="0">
    <w:p w:rsidR="00DD2DC7" w:rsidRDefault="00DD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DC7" w:rsidRDefault="00DD2DC7">
      <w:r>
        <w:separator/>
      </w:r>
    </w:p>
  </w:footnote>
  <w:footnote w:type="continuationSeparator" w:id="0">
    <w:p w:rsidR="00DD2DC7" w:rsidRDefault="00DD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0" w:rsidRPr="00BE1AE8" w:rsidRDefault="00373D57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370">
      <w:t xml:space="preserve">                  </w:t>
    </w:r>
    <w:r w:rsidR="00C82370" w:rsidRPr="00BE1AE8">
      <w:rPr>
        <w:rFonts w:ascii="Arial" w:hAnsi="Arial" w:cs="Arial"/>
        <w:b/>
        <w:sz w:val="22"/>
        <w:szCs w:val="22"/>
      </w:rPr>
      <w:t>PREFEITURA DE FLORIANÓPOLIS</w:t>
    </w:r>
  </w:p>
  <w:p w:rsidR="00C82370" w:rsidRPr="00BE1AE8" w:rsidRDefault="00C82370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C82370" w:rsidRPr="00BE1AE8" w:rsidRDefault="00C82370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C82370" w:rsidRDefault="00C82370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C82370" w:rsidRPr="00BE1AE8" w:rsidRDefault="00C82370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B3C41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3D57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394C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A7794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05A0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4C13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82370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28A9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2DC7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2984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C3CE4"/>
    <w:rsid w:val="00FD0E0D"/>
    <w:rsid w:val="00FD3C91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DCC1CC-584D-4F87-B8DE-70B3BD8C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67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7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67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7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67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67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2019-06-11T18:23:00Z</dcterms:created>
  <dcterms:modified xsi:type="dcterms:W3CDTF">2019-06-11T18:23:00Z</dcterms:modified>
</cp:coreProperties>
</file>