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Pr="00520049" w:rsidRDefault="00246625" w:rsidP="002E69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D126C5" w:rsidRPr="00D126C5">
        <w:rPr>
          <w:rFonts w:ascii="Arial" w:hAnsi="Arial" w:cs="Arial"/>
          <w:b/>
          <w:sz w:val="20"/>
          <w:szCs w:val="20"/>
          <w:u w:val="single"/>
        </w:rPr>
        <w:t>COMÉRCIO ATACADISTA DE ÓLEOS E GORDURAS</w:t>
      </w:r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: </w:t>
      </w:r>
      <w:r w:rsidR="00D126C5">
        <w:rPr>
          <w:rFonts w:ascii="Arial" w:hAnsi="Arial" w:cs="Arial"/>
          <w:b/>
          <w:sz w:val="20"/>
          <w:szCs w:val="20"/>
        </w:rPr>
        <w:t>4637-1/03</w:t>
      </w:r>
      <w:bookmarkStart w:id="0" w:name="_GoBack"/>
      <w:bookmarkEnd w:id="0"/>
      <w:r w:rsidR="00243AD0" w:rsidRPr="00243AD0">
        <w:rPr>
          <w:rFonts w:ascii="Arial" w:hAnsi="Arial" w:cs="Arial"/>
          <w:b/>
          <w:sz w:val="20"/>
          <w:szCs w:val="20"/>
        </w:rPr>
        <w:t>.</w:t>
      </w:r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lastRenderedPageBreak/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9F" w:rsidRDefault="00D8629F">
      <w:r>
        <w:separator/>
      </w:r>
    </w:p>
  </w:endnote>
  <w:endnote w:type="continuationSeparator" w:id="0">
    <w:p w:rsidR="00D8629F" w:rsidRDefault="00D8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9F" w:rsidRDefault="00D8629F">
      <w:r>
        <w:separator/>
      </w:r>
    </w:p>
  </w:footnote>
  <w:footnote w:type="continuationSeparator" w:id="0">
    <w:p w:rsidR="00D8629F" w:rsidRDefault="00D86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834A8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1811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3AD0"/>
    <w:rsid w:val="00245A38"/>
    <w:rsid w:val="00246625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1658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3965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3A0C"/>
    <w:rsid w:val="00A27751"/>
    <w:rsid w:val="00A31956"/>
    <w:rsid w:val="00A36F03"/>
    <w:rsid w:val="00A5170A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26C5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629F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2</cp:revision>
  <cp:lastPrinted>2008-11-20T17:39:00Z</cp:lastPrinted>
  <dcterms:created xsi:type="dcterms:W3CDTF">2019-06-26T19:52:00Z</dcterms:created>
  <dcterms:modified xsi:type="dcterms:W3CDTF">2019-06-26T19:52:00Z</dcterms:modified>
</cp:coreProperties>
</file>